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0F6ED">
      <w:pPr>
        <w:spacing w:line="360" w:lineRule="auto"/>
        <w:jc w:val="center"/>
        <w:rPr>
          <w:rFonts w:ascii="Times New Roman" w:hAnsi="Times New Roman" w:eastAsia="宋体" w:cs="Times New Roman"/>
          <w:color w:val="000000" w:themeColor="text1"/>
          <w:sz w:val="24"/>
          <w:szCs w:val="32"/>
          <w14:textFill>
            <w14:solidFill>
              <w14:schemeClr w14:val="tx1"/>
            </w14:solidFill>
          </w14:textFill>
        </w:rPr>
      </w:pPr>
      <w:r>
        <w:rPr>
          <w:rFonts w:hint="eastAsia" w:ascii="Times New Roman" w:hAnsi="Times New Roman" w:eastAsia="宋体" w:cs="Times New Roman"/>
          <w:b/>
          <w:sz w:val="28"/>
          <w:szCs w:val="28"/>
          <w:shd w:val="clear" w:color="auto" w:fill="FFFFFF"/>
        </w:rPr>
        <w:t xml:space="preserve">Fructo-Oligosaccharides and Sea Buckthorn Complex Ameliorates Glucose and Lipid Metabolism in Type 2 Diabetic (T2DM) Rats via Metabolic and </w:t>
      </w:r>
      <w:bookmarkStart w:id="0" w:name="OLE_LINK71"/>
      <w:bookmarkStart w:id="1" w:name="OLE_LINK70"/>
      <w:r>
        <w:rPr>
          <w:rFonts w:hint="eastAsia" w:ascii="Times New Roman" w:hAnsi="Times New Roman" w:eastAsia="宋体" w:cs="Times New Roman"/>
          <w:b/>
          <w:sz w:val="28"/>
          <w:szCs w:val="28"/>
          <w:shd w:val="clear" w:color="auto" w:fill="FFFFFF"/>
        </w:rPr>
        <w:t xml:space="preserve">Anti-Inflammatory </w:t>
      </w:r>
      <w:bookmarkEnd w:id="0"/>
      <w:bookmarkEnd w:id="1"/>
      <w:r>
        <w:rPr>
          <w:rFonts w:hint="eastAsia" w:ascii="Times New Roman" w:hAnsi="Times New Roman" w:eastAsia="宋体" w:cs="Times New Roman"/>
          <w:b/>
          <w:sz w:val="28"/>
          <w:szCs w:val="28"/>
          <w:shd w:val="clear" w:color="auto" w:fill="FFFFFF"/>
        </w:rPr>
        <w:t>Pathways</w:t>
      </w:r>
      <w:bookmarkStart w:id="2" w:name="_Hlk147911515"/>
    </w:p>
    <w:bookmarkEnd w:id="2"/>
    <w:p w14:paraId="79597019">
      <w:pPr>
        <w:spacing w:line="360" w:lineRule="auto"/>
        <w:rPr>
          <w:rFonts w:ascii="Times New Roman" w:hAnsi="Times New Roman" w:eastAsia="宋体" w:cs="Times New Roman"/>
          <w:color w:val="000000" w:themeColor="text1"/>
          <w:sz w:val="24"/>
          <w:szCs w:val="32"/>
          <w14:textFill>
            <w14:solidFill>
              <w14:schemeClr w14:val="tx1"/>
            </w14:solidFill>
          </w14:textFill>
        </w:rPr>
      </w:pPr>
      <w:r>
        <w:rPr>
          <w:rFonts w:hint="eastAsia" w:ascii="Times New Roman" w:hAnsi="Times New Roman" w:eastAsia="宋体" w:cs="Times New Roman"/>
          <w:color w:val="000000" w:themeColor="text1"/>
          <w:sz w:val="24"/>
          <w:szCs w:val="32"/>
          <w14:textFill>
            <w14:solidFill>
              <w14:schemeClr w14:val="tx1"/>
            </w14:solidFill>
          </w14:textFill>
        </w:rPr>
        <w:t>Ling Chen,</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14:textFill>
            <w14:solidFill>
              <w14:schemeClr w14:val="tx1"/>
            </w14:solidFill>
          </w14:textFill>
        </w:rPr>
        <w:t xml:space="preserve"> Hualin Liu,</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14:textFill>
            <w14:solidFill>
              <w14:schemeClr w14:val="tx1"/>
            </w14:solidFill>
          </w14:textFill>
        </w:rPr>
        <w:t xml:space="preserve"> Yanwu Chen,</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14:textFill>
            <w14:solidFill>
              <w14:schemeClr w14:val="tx1"/>
            </w14:solidFill>
          </w14:textFill>
        </w:rPr>
        <w:t xml:space="preserve"> Qianya Xiao,</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14:textFill>
            <w14:solidFill>
              <w14:schemeClr w14:val="tx1"/>
            </w14:solidFill>
          </w14:textFill>
        </w:rPr>
        <w:t xml:space="preserve"> Zijin Huang,</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14:textFill>
            <w14:solidFill>
              <w14:schemeClr w14:val="tx1"/>
            </w14:solidFill>
          </w14:textFill>
        </w:rPr>
        <w:t xml:space="preserve"> </w:t>
      </w:r>
      <w:r>
        <w:rPr>
          <w:rFonts w:hint="eastAsia" w:ascii="Times New Roman" w:hAnsi="Times New Roman" w:eastAsia="宋体" w:cs="Times New Roman"/>
          <w:color w:val="000000" w:themeColor="text1"/>
          <w:sz w:val="24"/>
          <w:szCs w:val="32"/>
          <w:lang w:eastAsia="zh"/>
          <w14:textFill>
            <w14:solidFill>
              <w14:schemeClr w14:val="tx1"/>
            </w14:solidFill>
          </w14:textFill>
        </w:rPr>
        <w:t>Ziying Li,</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lang w:eastAsia="zh"/>
          <w14:textFill>
            <w14:solidFill>
              <w14:schemeClr w14:val="tx1"/>
            </w14:solidFill>
          </w14:textFill>
        </w:rPr>
        <w:t xml:space="preserve"> Xiaofei Zhang,</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lang w:eastAsia="zh"/>
          <w14:textFill>
            <w14:solidFill>
              <w14:schemeClr w14:val="tx1"/>
            </w14:solidFill>
          </w14:textFill>
        </w:rPr>
        <w:t xml:space="preserve"> </w:t>
      </w:r>
      <w:r>
        <w:rPr>
          <w:rFonts w:hint="eastAsia" w:ascii="Times New Roman" w:hAnsi="Times New Roman" w:eastAsia="宋体" w:cs="Times New Roman"/>
          <w:color w:val="000000" w:themeColor="text1"/>
          <w:sz w:val="24"/>
          <w:szCs w:val="32"/>
          <w14:textFill>
            <w14:solidFill>
              <w14:schemeClr w14:val="tx1"/>
            </w14:solidFill>
          </w14:textFill>
        </w:rPr>
        <w:t>Xueying Fan,</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14:textFill>
            <w14:solidFill>
              <w14:schemeClr w14:val="tx1"/>
            </w14:solidFill>
          </w14:textFill>
        </w:rPr>
        <w:t xml:space="preserve"> Meichen Xiao,</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14:textFill>
            <w14:solidFill>
              <w14:schemeClr w14:val="tx1"/>
            </w14:solidFill>
          </w14:textFill>
        </w:rPr>
        <w:t xml:space="preserve"> Xiaomin Li,*</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vertAlign w:val="superscript"/>
          <w:lang w:eastAsia="zh"/>
          <w14:textFill>
            <w14:solidFill>
              <w14:schemeClr w14:val="tx1"/>
            </w14:solidFill>
          </w14:textFill>
        </w:rPr>
        <w:t>c</w:t>
      </w:r>
      <w:r>
        <w:rPr>
          <w:rFonts w:hint="eastAsia" w:ascii="Times New Roman" w:hAnsi="Times New Roman" w:eastAsia="宋体" w:cs="Times New Roman"/>
          <w:color w:val="000000" w:themeColor="text1"/>
          <w:sz w:val="24"/>
          <w:szCs w:val="32"/>
          <w14:textFill>
            <w14:solidFill>
              <w14:schemeClr w14:val="tx1"/>
            </w14:solidFill>
          </w14:textFill>
        </w:rPr>
        <w:t xml:space="preserve"> and Yuan Yao Chen*</w:t>
      </w:r>
      <w:r>
        <w:rPr>
          <w:rFonts w:hint="eastAsia" w:ascii="Times New Roman" w:hAnsi="Times New Roman" w:eastAsia="宋体" w:cs="Times New Roman"/>
          <w:color w:val="000000" w:themeColor="text1"/>
          <w:sz w:val="24"/>
          <w:szCs w:val="32"/>
          <w:vertAlign w:val="superscript"/>
          <w14:textFill>
            <w14:solidFill>
              <w14:schemeClr w14:val="tx1"/>
            </w14:solidFill>
          </w14:textFill>
        </w:rPr>
        <w:t>ab</w:t>
      </w:r>
      <w:r>
        <w:rPr>
          <w:rFonts w:hint="eastAsia" w:ascii="Times New Roman" w:hAnsi="Times New Roman" w:eastAsia="宋体" w:cs="Times New Roman"/>
          <w:color w:val="000000" w:themeColor="text1"/>
          <w:sz w:val="24"/>
          <w:szCs w:val="32"/>
          <w14:textFill>
            <w14:solidFill>
              <w14:schemeClr w14:val="tx1"/>
            </w14:solidFill>
          </w14:textFill>
        </w:rPr>
        <w:t xml:space="preserve"> </w:t>
      </w:r>
    </w:p>
    <w:p w14:paraId="62AABACD">
      <w:pPr>
        <w:adjustRightInd w:val="0"/>
        <w:snapToGrid w:val="0"/>
        <w:spacing w:line="360" w:lineRule="auto"/>
        <w:rPr>
          <w:rFonts w:ascii="Times New Roman" w:hAnsi="Times New Roman" w:eastAsia="宋体" w:cs="Times New Roman"/>
          <w:b/>
          <w:sz w:val="28"/>
          <w:szCs w:val="28"/>
          <w:shd w:val="clear" w:color="auto" w:fill="FFFFFF"/>
        </w:rPr>
      </w:pPr>
    </w:p>
    <w:p w14:paraId="419A8911">
      <w:pPr>
        <w:spacing w:line="360" w:lineRule="auto"/>
        <w:rPr>
          <w:rFonts w:ascii="Times New Roman" w:hAnsi="Times New Roman" w:eastAsia="宋体" w:cs="Times New Roman"/>
          <w:color w:val="000000" w:themeColor="text1"/>
          <w:sz w:val="24"/>
          <w:szCs w:val="32"/>
          <w14:textFill>
            <w14:solidFill>
              <w14:schemeClr w14:val="tx1"/>
            </w14:solidFill>
          </w14:textFill>
        </w:rPr>
      </w:pPr>
      <w:r>
        <w:rPr>
          <w:rFonts w:ascii="Times New Roman" w:hAnsi="Times New Roman" w:eastAsia="宋体" w:cs="Times New Roman"/>
          <w:color w:val="000000" w:themeColor="text1"/>
          <w:sz w:val="24"/>
          <w:szCs w:val="32"/>
          <w14:textFill>
            <w14:solidFill>
              <w14:schemeClr w14:val="tx1"/>
            </w14:solidFill>
          </w14:textFill>
        </w:rPr>
        <w:t>*Corresponding Authors:</w:t>
      </w:r>
      <w:r>
        <w:rPr>
          <w:rFonts w:hint="eastAsia" w:ascii="Times New Roman" w:hAnsi="Times New Roman" w:eastAsia="宋体" w:cs="Times New Roman"/>
          <w:color w:val="000000" w:themeColor="text1"/>
          <w:sz w:val="24"/>
          <w:szCs w:val="32"/>
          <w14:textFill>
            <w14:solidFill>
              <w14:schemeClr w14:val="tx1"/>
            </w14:solidFill>
          </w14:textFill>
        </w:rPr>
        <w:t xml:space="preserve"> </w:t>
      </w:r>
    </w:p>
    <w:p w14:paraId="3D33AD06">
      <w:pPr>
        <w:spacing w:line="360" w:lineRule="auto"/>
        <w:rPr>
          <w:rFonts w:ascii="Times New Roman" w:hAnsi="Times New Roman" w:eastAsia="宋体" w:cs="Times New Roman"/>
          <w:color w:val="000000" w:themeColor="text1"/>
          <w:sz w:val="24"/>
          <w:szCs w:val="32"/>
          <w14:textFill>
            <w14:solidFill>
              <w14:schemeClr w14:val="tx1"/>
            </w14:solidFill>
          </w14:textFill>
        </w:rPr>
      </w:pPr>
      <w:r>
        <w:rPr>
          <w:rFonts w:hint="eastAsia" w:ascii="Times New Roman" w:hAnsi="Times New Roman" w:eastAsia="宋体" w:cs="Times New Roman"/>
          <w:color w:val="000000" w:themeColor="text1"/>
          <w:sz w:val="24"/>
          <w:szCs w:val="32"/>
          <w14:textFill>
            <w14:solidFill>
              <w14:schemeClr w14:val="tx1"/>
            </w14:solidFill>
          </w14:textFill>
        </w:rPr>
        <w:t>Xiaomin Li, E</w:t>
      </w:r>
      <w:r>
        <w:rPr>
          <w:rFonts w:ascii="Times New Roman" w:hAnsi="Times New Roman" w:eastAsia="宋体" w:cs="Times New Roman"/>
          <w:color w:val="000000" w:themeColor="text1"/>
          <w:sz w:val="24"/>
          <w:szCs w:val="32"/>
          <w14:textFill>
            <w14:solidFill>
              <w14:schemeClr w14:val="tx1"/>
            </w14:solidFill>
          </w14:textFill>
        </w:rPr>
        <w:t xml:space="preserve">mail addresses: </w:t>
      </w:r>
      <w:r>
        <w:rPr>
          <w:rFonts w:hint="eastAsia" w:ascii="Times New Roman" w:hAnsi="Times New Roman" w:eastAsia="宋体" w:cs="Times New Roman"/>
          <w:color w:val="000000" w:themeColor="text1"/>
          <w:sz w:val="24"/>
          <w:szCs w:val="32"/>
          <w14:textFill>
            <w14:solidFill>
              <w14:schemeClr w14:val="tx1"/>
            </w14:solidFill>
          </w14:textFill>
        </w:rPr>
        <w:t>yfglblxm@126.com</w:t>
      </w:r>
    </w:p>
    <w:p w14:paraId="7F4BDBE9">
      <w:pPr>
        <w:spacing w:line="360" w:lineRule="auto"/>
        <w:rPr>
          <w:rFonts w:ascii="Times New Roman" w:hAnsi="Times New Roman" w:eastAsia="宋体" w:cs="Times New Roman"/>
          <w:color w:val="000000" w:themeColor="text1"/>
          <w:sz w:val="24"/>
          <w:szCs w:val="32"/>
          <w14:textFill>
            <w14:solidFill>
              <w14:schemeClr w14:val="tx1"/>
            </w14:solidFill>
          </w14:textFill>
        </w:rPr>
      </w:pPr>
      <w:r>
        <w:rPr>
          <w:rFonts w:hint="eastAsia" w:ascii="Times New Roman" w:hAnsi="Times New Roman" w:eastAsia="宋体" w:cs="Times New Roman"/>
          <w:color w:val="000000" w:themeColor="text1"/>
          <w:sz w:val="24"/>
          <w:szCs w:val="32"/>
          <w14:textFill>
            <w14:solidFill>
              <w14:schemeClr w14:val="tx1"/>
            </w14:solidFill>
          </w14:textFill>
        </w:rPr>
        <w:t>Yuan Yao Chen, E</w:t>
      </w:r>
      <w:r>
        <w:rPr>
          <w:rFonts w:ascii="Times New Roman" w:hAnsi="Times New Roman" w:eastAsia="宋体" w:cs="Times New Roman"/>
          <w:color w:val="000000" w:themeColor="text1"/>
          <w:sz w:val="24"/>
          <w:szCs w:val="32"/>
          <w14:textFill>
            <w14:solidFill>
              <w14:schemeClr w14:val="tx1"/>
            </w14:solidFill>
          </w14:textFill>
        </w:rPr>
        <w:t xml:space="preserve">mail addresses: </w:t>
      </w:r>
      <w:r>
        <w:rPr>
          <w:rFonts w:hint="eastAsia" w:ascii="Times New Roman" w:hAnsi="Times New Roman" w:eastAsia="宋体" w:cs="Times New Roman"/>
          <w:color w:val="000000" w:themeColor="text1"/>
          <w:sz w:val="24"/>
          <w:szCs w:val="32"/>
          <w14:textFill>
            <w14:solidFill>
              <w14:schemeClr w14:val="tx1"/>
            </w14:solidFill>
          </w14:textFill>
        </w:rPr>
        <w:t xml:space="preserve">yuanyaochen0401@163.com </w:t>
      </w:r>
    </w:p>
    <w:p w14:paraId="68CDC2A9">
      <w:pPr>
        <w:spacing w:line="360" w:lineRule="auto"/>
        <w:rPr>
          <w:rFonts w:ascii="Times New Roman" w:hAnsi="Times New Roman" w:eastAsia="宋体" w:cs="Times New Roman"/>
          <w:color w:val="000000" w:themeColor="text1"/>
          <w:sz w:val="24"/>
          <w:szCs w:val="32"/>
          <w14:textFill>
            <w14:solidFill>
              <w14:schemeClr w14:val="tx1"/>
            </w14:solidFill>
          </w14:textFill>
        </w:rPr>
      </w:pPr>
      <w:r>
        <w:rPr>
          <w:rFonts w:hint="eastAsia" w:ascii="Times New Roman" w:hAnsi="Times New Roman" w:eastAsia="宋体" w:cs="Times New Roman"/>
          <w:color w:val="000000" w:themeColor="text1"/>
          <w:sz w:val="24"/>
          <w:szCs w:val="32"/>
          <w14:textFill>
            <w14:solidFill>
              <w14:schemeClr w14:val="tx1"/>
            </w14:solidFill>
          </w14:textFill>
        </w:rPr>
        <w:t>Contact: Yuan Yao Chen</w:t>
      </w:r>
    </w:p>
    <w:p w14:paraId="593BAEE4">
      <w:pPr>
        <w:adjustRightInd w:val="0"/>
        <w:snapToGrid w:val="0"/>
        <w:spacing w:line="360" w:lineRule="auto"/>
        <w:rPr>
          <w:rFonts w:ascii="Times New Roman" w:hAnsi="Times New Roman" w:eastAsia="宋体" w:cs="Times New Roman"/>
          <w:b/>
          <w:sz w:val="28"/>
          <w:szCs w:val="28"/>
          <w:shd w:val="clear" w:color="auto" w:fill="FFFFFF"/>
        </w:rPr>
      </w:pPr>
    </w:p>
    <w:p w14:paraId="3FC06202">
      <w:pPr>
        <w:adjustRightInd w:val="0"/>
        <w:snapToGrid w:val="0"/>
        <w:spacing w:line="360" w:lineRule="auto"/>
        <w:rPr>
          <w:rFonts w:ascii="Times New Roman" w:hAnsi="Times New Roman" w:eastAsia="宋体" w:cs="Times New Roman"/>
          <w:bCs/>
          <w:sz w:val="24"/>
          <w:szCs w:val="24"/>
          <w:shd w:val="clear" w:color="auto" w:fill="FFFFFF"/>
        </w:rPr>
      </w:pPr>
      <w:r>
        <w:rPr>
          <w:rFonts w:hint="eastAsia" w:ascii="Times New Roman" w:hAnsi="Times New Roman" w:eastAsia="宋体" w:cs="Times New Roman"/>
          <w:bCs/>
          <w:sz w:val="24"/>
          <w:szCs w:val="24"/>
          <w:shd w:val="clear" w:color="auto" w:fill="FFFFFF"/>
        </w:rPr>
        <w:t>a Research &amp; Development Division, Perfect (Guangdong) Co., Ltd., Zhongshan, China</w:t>
      </w:r>
    </w:p>
    <w:p w14:paraId="26C44975">
      <w:pPr>
        <w:adjustRightInd w:val="0"/>
        <w:snapToGrid w:val="0"/>
        <w:spacing w:line="360" w:lineRule="auto"/>
        <w:rPr>
          <w:rFonts w:ascii="Times New Roman" w:hAnsi="Times New Roman" w:eastAsia="宋体" w:cs="Times New Roman"/>
          <w:bCs/>
          <w:sz w:val="24"/>
          <w:szCs w:val="24"/>
          <w:shd w:val="clear" w:color="auto" w:fill="FFFFFF"/>
        </w:rPr>
      </w:pPr>
      <w:r>
        <w:rPr>
          <w:rFonts w:hint="eastAsia" w:ascii="Times New Roman" w:hAnsi="Times New Roman" w:eastAsia="宋体" w:cs="Times New Roman"/>
          <w:bCs/>
          <w:sz w:val="24"/>
          <w:szCs w:val="24"/>
          <w:shd w:val="clear" w:color="auto" w:fill="FFFFFF"/>
        </w:rPr>
        <w:t>b Research &amp; Development Division, Perfect Life &amp; Health Institute, Zhongshan, China</w:t>
      </w:r>
    </w:p>
    <w:p w14:paraId="0D784A45">
      <w:pPr>
        <w:adjustRightInd w:val="0"/>
        <w:snapToGrid w:val="0"/>
        <w:spacing w:line="360" w:lineRule="auto"/>
        <w:rPr>
          <w:rFonts w:ascii="Times New Roman" w:hAnsi="Times New Roman" w:eastAsia="宋体" w:cs="Times New Roman"/>
          <w:bCs/>
          <w:sz w:val="24"/>
          <w:szCs w:val="24"/>
          <w:shd w:val="clear" w:color="auto" w:fill="FFFFFF"/>
          <w:lang w:eastAsia="zh"/>
        </w:rPr>
      </w:pPr>
      <w:r>
        <w:rPr>
          <w:rFonts w:hint="eastAsia" w:ascii="Times New Roman" w:hAnsi="Times New Roman" w:eastAsia="宋体" w:cs="Times New Roman"/>
          <w:bCs/>
          <w:sz w:val="24"/>
          <w:szCs w:val="24"/>
          <w:shd w:val="clear" w:color="auto" w:fill="FFFFFF"/>
          <w:lang w:eastAsia="zh"/>
        </w:rPr>
        <w:t xml:space="preserve">c </w:t>
      </w:r>
      <w:r>
        <w:rPr>
          <w:rFonts w:ascii="Times New Roman" w:hAnsi="Times New Roman" w:eastAsia="宋体" w:cs="Times New Roman"/>
          <w:sz w:val="24"/>
          <w:szCs w:val="24"/>
        </w:rPr>
        <w:t>School of</w:t>
      </w:r>
      <w:r>
        <w:rPr>
          <w:rFonts w:ascii="Times New Roman" w:hAnsi="Times New Roman" w:eastAsia="宋体" w:cs="Times New Roman"/>
          <w:sz w:val="24"/>
          <w:szCs w:val="24"/>
          <w:lang w:eastAsia="zh"/>
        </w:rPr>
        <w:t xml:space="preserve"> </w:t>
      </w:r>
      <w:r>
        <w:rPr>
          <w:rFonts w:ascii="Times New Roman" w:hAnsi="Times New Roman" w:eastAsia="宋体" w:cs="Times New Roman"/>
          <w:sz w:val="24"/>
          <w:szCs w:val="24"/>
        </w:rPr>
        <w:t>Traditional</w:t>
      </w:r>
      <w:r>
        <w:rPr>
          <w:rFonts w:ascii="Times New Roman" w:hAnsi="Times New Roman" w:eastAsia="宋体" w:cs="Times New Roman"/>
          <w:sz w:val="24"/>
          <w:szCs w:val="24"/>
          <w:lang w:eastAsia="zh"/>
        </w:rPr>
        <w:t xml:space="preserve"> </w:t>
      </w:r>
      <w:r>
        <w:rPr>
          <w:rFonts w:ascii="Times New Roman" w:hAnsi="Times New Roman" w:eastAsia="宋体" w:cs="Times New Roman"/>
          <w:sz w:val="24"/>
          <w:szCs w:val="24"/>
        </w:rPr>
        <w:t>Chinese Materia Medica,</w:t>
      </w:r>
      <w:r>
        <w:rPr>
          <w:rFonts w:hint="eastAsia" w:ascii="Times New Roman" w:hAnsi="Times New Roman" w:eastAsia="宋体" w:cs="Times New Roman"/>
          <w:sz w:val="24"/>
          <w:szCs w:val="24"/>
          <w:lang w:eastAsia="zh"/>
        </w:rPr>
        <w:t xml:space="preserve"> </w:t>
      </w:r>
      <w:r>
        <w:rPr>
          <w:rFonts w:ascii="Times New Roman" w:hAnsi="Times New Roman" w:eastAsia="宋体" w:cs="Times New Roman"/>
          <w:sz w:val="24"/>
          <w:szCs w:val="24"/>
        </w:rPr>
        <w:t>Shenyang Pharmaceutical University,</w:t>
      </w:r>
      <w:r>
        <w:rPr>
          <w:rFonts w:hint="eastAsia" w:ascii="Times New Roman" w:hAnsi="Times New Roman" w:eastAsia="宋体" w:cs="Times New Roman"/>
          <w:sz w:val="24"/>
          <w:szCs w:val="24"/>
          <w:lang w:eastAsia="zh"/>
        </w:rPr>
        <w:t xml:space="preserve"> </w:t>
      </w:r>
      <w:r>
        <w:rPr>
          <w:rFonts w:ascii="Times New Roman" w:hAnsi="Times New Roman" w:eastAsia="宋体" w:cs="Times New Roman"/>
          <w:sz w:val="24"/>
          <w:szCs w:val="24"/>
        </w:rPr>
        <w:t>Shenyang</w:t>
      </w:r>
      <w:r>
        <w:rPr>
          <w:rFonts w:hint="eastAsia" w:ascii="Times New Roman" w:hAnsi="Times New Roman" w:eastAsia="宋体" w:cs="Times New Roman"/>
          <w:sz w:val="24"/>
          <w:szCs w:val="24"/>
          <w:lang w:eastAsia="zh"/>
        </w:rPr>
        <w:t>, Liaoning</w:t>
      </w:r>
      <w:r>
        <w:rPr>
          <w:rFonts w:ascii="Times New Roman" w:hAnsi="Times New Roman" w:eastAsia="宋体" w:cs="Times New Roman"/>
          <w:sz w:val="24"/>
          <w:szCs w:val="24"/>
        </w:rPr>
        <w:t xml:space="preserve"> 110016,</w:t>
      </w:r>
      <w:r>
        <w:rPr>
          <w:rFonts w:hint="eastAsia" w:ascii="Times New Roman" w:hAnsi="Times New Roman" w:eastAsia="宋体" w:cs="Times New Roman"/>
          <w:sz w:val="24"/>
          <w:szCs w:val="24"/>
          <w:lang w:eastAsia="zh"/>
        </w:rPr>
        <w:t xml:space="preserve"> </w:t>
      </w:r>
      <w:r>
        <w:rPr>
          <w:rFonts w:ascii="Times New Roman" w:hAnsi="Times New Roman" w:eastAsia="宋体" w:cs="Times New Roman"/>
          <w:sz w:val="24"/>
          <w:szCs w:val="24"/>
        </w:rPr>
        <w:t>China</w:t>
      </w:r>
    </w:p>
    <w:p w14:paraId="5B214769">
      <w:pPr>
        <w:adjustRightInd w:val="0"/>
        <w:snapToGrid w:val="0"/>
        <w:spacing w:line="360" w:lineRule="auto"/>
        <w:rPr>
          <w:rFonts w:ascii="Times New Roman" w:hAnsi="Times New Roman" w:eastAsia="宋体" w:cs="Times New Roman"/>
          <w:bCs/>
          <w:sz w:val="24"/>
          <w:szCs w:val="24"/>
          <w:shd w:val="clear" w:color="auto" w:fill="FFFFFF"/>
        </w:rPr>
      </w:pPr>
    </w:p>
    <w:p w14:paraId="4860588F">
      <w:r>
        <w:rPr>
          <w:rFonts w:hint="eastAsia" w:ascii="Times New Roman" w:hAnsi="Times New Roman" w:eastAsia="宋体" w:cs="Times New Roman"/>
          <w:bCs/>
          <w:sz w:val="24"/>
          <w:szCs w:val="24"/>
          <w:shd w:val="clear" w:color="auto" w:fill="FFFFFF"/>
          <w:vertAlign w:val="superscript"/>
        </w:rPr>
        <w:t>†</w:t>
      </w:r>
      <w:r>
        <w:rPr>
          <w:rFonts w:hint="eastAsia" w:ascii="Times New Roman" w:hAnsi="Times New Roman" w:eastAsia="宋体" w:cs="Times New Roman"/>
          <w:bCs/>
          <w:sz w:val="24"/>
          <w:szCs w:val="24"/>
          <w:shd w:val="clear" w:color="auto" w:fill="FFFFFF"/>
        </w:rPr>
        <w:t>Ling Chen and Hualin Liu contributed equally to this work.</w:t>
      </w:r>
    </w:p>
    <w:p w14:paraId="2D795824">
      <w:pPr>
        <w:rPr>
          <w:rFonts w:ascii="Times New Roman" w:hAnsi="Times New Roman" w:cs="Times New Roman"/>
          <w:b/>
          <w:sz w:val="32"/>
        </w:rPr>
      </w:pPr>
      <w:r>
        <w:rPr>
          <w:rFonts w:ascii="Times New Roman" w:hAnsi="Times New Roman" w:cs="Times New Roman"/>
          <w:b/>
          <w:sz w:val="32"/>
        </w:rPr>
        <w:br w:type="page"/>
      </w:r>
    </w:p>
    <w:p w14:paraId="3AA8A06A">
      <w:pPr>
        <w:widowControl/>
        <w:adjustRightInd w:val="0"/>
        <w:snapToGrid w:val="0"/>
        <w:spacing w:line="360" w:lineRule="auto"/>
        <w:jc w:val="center"/>
        <w:rPr>
          <w:rFonts w:ascii="Times New Roman" w:hAnsi="Times New Roman" w:cs="Times New Roman"/>
          <w:b/>
          <w:bCs w:val="0"/>
          <w:sz w:val="24"/>
          <w:szCs w:val="20"/>
        </w:rPr>
      </w:pPr>
      <w:r>
        <w:rPr>
          <w:rFonts w:ascii="Times New Roman" w:hAnsi="Times New Roman" w:cs="Times New Roman"/>
          <w:b/>
          <w:bCs w:val="0"/>
          <w:sz w:val="24"/>
          <w:szCs w:val="20"/>
        </w:rPr>
        <w:t>Evaluation of Synergistic Effects of Fructo</w:t>
      </w:r>
      <w:r>
        <w:rPr>
          <w:rFonts w:hint="eastAsia" w:ascii="Times New Roman" w:hAnsi="Times New Roman" w:cs="Times New Roman"/>
          <w:b/>
          <w:bCs w:val="0"/>
          <w:sz w:val="24"/>
          <w:szCs w:val="20"/>
        </w:rPr>
        <w:t>-</w:t>
      </w:r>
      <w:r>
        <w:rPr>
          <w:rFonts w:ascii="Times New Roman" w:hAnsi="Times New Roman" w:cs="Times New Roman"/>
          <w:b/>
          <w:bCs w:val="0"/>
          <w:sz w:val="24"/>
          <w:szCs w:val="20"/>
        </w:rPr>
        <w:t>oligosaccharides and Sea Buckthorn on Glucose, TG and TC in Zebrafish Larvae</w:t>
      </w:r>
      <w:bookmarkStart w:id="5" w:name="_GoBack"/>
      <w:bookmarkEnd w:id="5"/>
    </w:p>
    <w:p w14:paraId="463C977A">
      <w:pPr>
        <w:widowControl/>
        <w:adjustRightInd w:val="0"/>
        <w:snapToGri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To investigate whether fructo</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oligosaccharides (FOS) and sea buckthorn (SB) exert synergistic effects on glucose and lipid metabolism, we established zebrafish models of hyperglycemia and hyperlipidemia, respectively</w:t>
      </w:r>
      <w:r>
        <w:rPr>
          <w:rFonts w:ascii="Times New Roman" w:hAnsi="Times New Roman" w:eastAsia="宋体" w:cs="Times New Roman"/>
          <w:b/>
          <w:bCs/>
          <w:kern w:val="0"/>
          <w:sz w:val="24"/>
          <w:szCs w:val="24"/>
        </w:rPr>
        <w:fldChar w:fldCharType="begin"/>
      </w:r>
      <w:r>
        <w:rPr>
          <w:rFonts w:ascii="Times New Roman" w:hAnsi="Times New Roman" w:eastAsia="宋体" w:cs="Times New Roman"/>
          <w:b/>
          <w:bCs/>
          <w:kern w:val="0"/>
          <w:sz w:val="24"/>
          <w:szCs w:val="24"/>
        </w:rPr>
        <w:instrText xml:space="preserve"> ADDIN ZOTERO_ITEM CSL_CITATION {"citationID":"SgiJSvPB","properties":{"formattedCitation":"\\super 1,2\\nosupersub{}","plainCitation":"1,2","noteIndex":0},"citationItems":[{"id":420,"uris":["http://zotero.org/users/17611889/items/3BBRUREP"],"itemData":{"id":420,"type":"article-journal","abstract":"INTRODUCTION: Hyperlipidemia is the most common form of dyslipidemia, which is the key risk factor for cardiovascular disease and stroke. The development of effective and safe drug treatments for hyperlipidemia has been proven challenging.\nMETHODS: In this study, taking advantage of the transparency of larval zebrafish, we developed a zebrafish hyperlipidemia model for drug screening and efficacy assessment. Zebrafish at 5 d.p.f (days post fertilization) were fed with 0.1% egg yolk for 48 h (hours), followed by drug treatment for 24h or 48 h. Tested drugs were administered into the zebrafish by direct soaking. Drug effect was evaluated based on quantitative analysis of Oil Red O (ORO) in zebrafish vena caudalis.\nRESULTS: All 5 human hypolipidemic drugs (simvastatin, lovastatin, ezetimibe, bezafibrate and hyodesoxycholic acid) showed significant hypolipidemic effects (p&lt;0.01) in a dose-dependent manner in the zebrafish hyperlipidemia model. 'We also found a well-known Chinese tea Pu-erh tea significantly reduced lipids in this model (p&lt;0.001 and p&lt;0.01).\nDISCUSSION: Our results demonstrate that the zebrafish hyperlipidemia model developed and validated in this study could be used for in vivo hyperlipidemia studies and drug screening and for assessing hypolipidemic drugs with different mechanisms.","container-title":"Journal of Pharmacological and Toxicological Methods","DOI":"10.1016/j.vascn.2014.12.002","ISSN":"1873-488X","journalAbbreviation":"J Pharmacol Toxicol Methods","language":"eng","page":"47-52","PMID":"25497901","source":"PubMed","title":"Rapid analysis of hypolipidemic drugs in a live zebrafish assay","volume":"72","author":[{"family":"Zhou","given":"Juan"},{"family":"Xu","given":"Yi-Qiao"},{"family":"Guo","given":"Sheng-Ya"},{"family":"Li","given":"Chun-Qi"}],"issued":{"date-parts":[["2015"]]}}},{"id":425,"uris":["http://zotero.org/users/17611889/items/K89GVGTD"],"itemData":{"id":425,"type":"article-journal","abstract":"Obesity and diabetes now considered global epidemics. The prevalence rates of diabetes are increasing in parallel with the rates of obesity and the strong connection between these two diseases has been coined as \"diabesity.\" The health risks of overweight or obesity include Type 2 diabetes mellitus (T2DM), coronary heart disease and cancer of numerous organs. Both obesity and diabetes are complex diseases that involve the interaction of genetics and environmental factors. The underlying pathogenesis of obesity and diabetes are not well understood and further research is needed for pharmacological and surgical management. Consequently, the use of animal models of obesity and/or diabetes is important for both improving the understanding of these diseases and to identify and develop effective treatments. Zebrafish is an attractive model system for studying metabolic diseases because of the functional conservation in lipid metabolism, adipose biology, pancreas structure, and glucose homeostasis. It is also suited for identification of novel targets associated with the risk and treatment of obesity and diabetes in humans. In this review, we highlight studies using zebrafish to model metabolic diseases, and discuss the advantages and disadvantages of studying pathologies associated with obesity and diabetes in zebrafish.","container-title":"Frontiers in Cell and Developmental Biology","DOI":"10.3389/fcell.2018.00091","ISSN":"2296-634X","journalAbbreviation":"Front Cell Dev Biol","language":"eng","page":"91","PMID":"30177968","PMCID":"PMC6110173","source":"PubMed","title":"Zebrafish as a Model for Obesity and Diabetes","volume":"6","author":[{"family":"Zang","given":"Liqing"},{"family":"Maddison","given":"Lisette A."},{"family":"Chen","given":"Wenbiao"}],"issued":{"date-parts":[["2018"]]}}}],"schema":"https://github.com/citation-style-language/schema/raw/master/csl-citation.json"} </w:instrText>
      </w:r>
      <w:r>
        <w:rPr>
          <w:rFonts w:ascii="Times New Roman" w:hAnsi="Times New Roman" w:eastAsia="宋体" w:cs="Times New Roman"/>
          <w:b/>
          <w:bCs/>
          <w:kern w:val="0"/>
          <w:sz w:val="24"/>
          <w:szCs w:val="24"/>
        </w:rPr>
        <w:fldChar w:fldCharType="separate"/>
      </w:r>
      <w:r>
        <w:rPr>
          <w:rFonts w:ascii="Times New Roman" w:hAnsi="Times New Roman" w:cs="Times New Roman"/>
          <w:kern w:val="0"/>
          <w:sz w:val="24"/>
          <w:szCs w:val="24"/>
          <w:vertAlign w:val="superscript"/>
        </w:rPr>
        <w:t>1,2</w:t>
      </w:r>
      <w:r>
        <w:rPr>
          <w:rFonts w:ascii="Times New Roman" w:hAnsi="Times New Roman" w:eastAsia="宋体" w:cs="Times New Roman"/>
          <w:b/>
          <w:bCs/>
          <w:kern w:val="0"/>
          <w:sz w:val="24"/>
          <w:szCs w:val="24"/>
        </w:rPr>
        <w:fldChar w:fldCharType="end"/>
      </w:r>
      <w:r>
        <w:rPr>
          <w:rFonts w:ascii="Times New Roman" w:hAnsi="Times New Roman" w:eastAsia="宋体" w:cs="Times New Roman"/>
          <w:kern w:val="0"/>
          <w:sz w:val="24"/>
          <w:szCs w:val="24"/>
        </w:rPr>
        <w:t>. The experimental groups included: (1) control (Con, embryo medium only), (2) model control (Model, 2.5% glucose), (3) FOS (100 mg/L), (4) SB (50 mg/L), and (5) FOS+SB combination (SB, FOS 100 mg/L + SB 50 mg/L).</w:t>
      </w:r>
    </w:p>
    <w:p w14:paraId="35F437F1">
      <w:pPr>
        <w:widowControl/>
        <w:adjustRightInd w:val="0"/>
        <w:snapToGrid w:val="0"/>
        <w:spacing w:line="360" w:lineRule="auto"/>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Zebrafish Hyperglycemia Model</w:t>
      </w:r>
    </w:p>
    <w:p w14:paraId="77A9C03A">
      <w:pPr>
        <w:widowControl/>
        <w:adjustRightInd w:val="0"/>
        <w:snapToGri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Wild-type AB strain zebrafish embryos at 1 day post-fertilization (dpf) were distributed into 6-well plates at a density of 30 larvae per well with 3 mL of embryo medium (7.000 g NaCl, 0.400 g NaHCO₃, 0.100 g KCl, 0.235 g CaCl₂, adjusted to 2 L, filtered and sterilized). The plates were maintained in an incubator at 28 ± 0.5 °C under a 14/10 h light/dark cycle.</w:t>
      </w:r>
    </w:p>
    <w:p w14:paraId="7D487559">
      <w:pPr>
        <w:widowControl/>
        <w:adjustRightInd w:val="0"/>
        <w:snapToGri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Except for the Con group, all other groups were first exposed to 3 mL of 2.5% glucose solution for 2 days to induce hyperglycemia. Subsequently, test compounds were administered in 2.5% glucose solution for an additional 2 days. At the end of the intervention, larvae were pooled in groups of 10, homogenized, and centrifuged at 8,000 rpm for 10 min. Glucose </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GLU) levels in 1 µL of the supernatant were measured using a Roche Accu-CHEK Guide glucometer.</w:t>
      </w:r>
    </w:p>
    <w:p w14:paraId="27911229">
      <w:pPr>
        <w:widowControl/>
        <w:adjustRightInd w:val="0"/>
        <w:snapToGrid w:val="0"/>
        <w:spacing w:line="360" w:lineRule="auto"/>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Zebrafish Hyperlipidemia Model</w:t>
      </w:r>
    </w:p>
    <w:p w14:paraId="35F2FC01">
      <w:pPr>
        <w:widowControl/>
        <w:adjustRightInd w:val="0"/>
        <w:snapToGri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For the hyperlipidemia model, 5 dpf AB wild-type zebrafish larvae (30 per well in 6-well plates) were maintained in 3 mL of embryo medium. The plates were maintained in an incubator at 28 ± 0.5 °C under a 14/10 h light/dark cycle. From 5 to 7 dpf, larvae were treated daily with test solutions prepared in 0.15% yolk powder solution. The same five experimental groups as above were used. After the 2-day intervention, larvae were homogenized in pools of 10, and total cholesterol (TC) and triglyceride (TG) levels were quantified using the SCIBIO Zebrafish TG ELISA Kit and SCIBIO Zebrafish TC ELISA Kit, respectively.</w:t>
      </w:r>
    </w:p>
    <w:p w14:paraId="62D9322C">
      <w:pPr>
        <w:widowControl/>
        <w:adjustRightInd w:val="0"/>
        <w:snapToGri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All experiments were performed in triplicate (n = 3 biological replicates), and statistical significance was assessed using Student’s </w:t>
      </w:r>
      <w:r>
        <w:rPr>
          <w:rFonts w:ascii="Times New Roman" w:hAnsi="Times New Roman" w:eastAsia="宋体" w:cs="Times New Roman"/>
          <w:i/>
          <w:kern w:val="0"/>
          <w:sz w:val="24"/>
          <w:szCs w:val="24"/>
        </w:rPr>
        <w:t>t</w:t>
      </w:r>
      <w:r>
        <w:rPr>
          <w:rFonts w:ascii="Times New Roman" w:hAnsi="Times New Roman" w:eastAsia="宋体" w:cs="Times New Roman"/>
          <w:kern w:val="0"/>
          <w:sz w:val="24"/>
          <w:szCs w:val="24"/>
        </w:rPr>
        <w:t>-test.</w:t>
      </w:r>
    </w:p>
    <w:p w14:paraId="53B9AA6B">
      <w:pPr>
        <w:widowControl/>
        <w:adjustRightInd w:val="0"/>
        <w:snapToGrid w:val="0"/>
        <w:spacing w:line="360" w:lineRule="auto"/>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Assessment of Synergistic Interaction</w:t>
      </w:r>
    </w:p>
    <w:p w14:paraId="4D4F565A">
      <w:pPr>
        <w:widowControl/>
        <w:adjustRightInd w:val="0"/>
        <w:snapToGri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To evaluate potential synergy between FOS and SB, we calculated the individual and combined efficacies of FOS, SB, and the FS combination in reducing glucose, TG, and TC levels. Synergy was assessed using the Bliss independence model</w:t>
      </w:r>
      <w:r>
        <w:rPr>
          <w:rFonts w:ascii="Times New Roman" w:hAnsi="Times New Roman" w:eastAsia="宋体" w:cs="Times New Roman"/>
          <w:b/>
          <w:bCs/>
          <w:kern w:val="0"/>
          <w:sz w:val="24"/>
          <w:szCs w:val="24"/>
        </w:rPr>
        <w:fldChar w:fldCharType="begin"/>
      </w:r>
      <w:r>
        <w:rPr>
          <w:rFonts w:ascii="Times New Roman" w:hAnsi="Times New Roman" w:eastAsia="宋体" w:cs="Times New Roman"/>
          <w:b/>
          <w:bCs/>
          <w:kern w:val="0"/>
          <w:sz w:val="24"/>
          <w:szCs w:val="24"/>
        </w:rPr>
        <w:instrText xml:space="preserve"> ADDIN ZOTERO_ITEM CSL_CITATION {"citationID":"8pRERNRo","properties":{"formattedCitation":"\\super 3,4\\nosupersub{}","plainCitation":"3,4","noteIndex":0},"citationItems":[{"id":428,"uris":["http://zotero.org/users/17611889/items/NFH8QGRV"],"itemData":{"id":428,"type":"webpage","title":"THE TOXICITY OF POISONS APPLIED JOINTLY1 - BLISS - 1939 - Annals of Applied Biology - Wiley Online Library","URL":"https://onlinelibrary.wiley.com/doi/abs/10.1111/j.1744-7348.1939.tb06990.x","accessed":{"date-parts":[["2026",2,7]]}}},{"id":432,"uris":["http://zotero.org/users/17611889/items/AQRCSIY3"],"itemData":{"id":432,"type":"article-journal","abstract":"Although synergy is a pillar of modern pharmacology, toxicology, and medicine, there is no consensus on its definition despite its nearly one hundred-year history. Moreover, methods for statistical determination of synergy that account for variation of response to treatment are underdeveloped and if exist are reduced to the traditional t-test, but do not comply with the normal distribution assumption. We offer statistical models for estimation of synergy using an established definition of Bliss drugs' independence. Although Bliss definition is well-known, it remains a theoretical concept and has never been applied for statistical determination of synergy with various forms of treatment outcome. We rigorously and consistently extend the Bliss definition to detect statistically significant synergy under various designs: (1) in vitro, when the outcome of a cell culture experiment with replicates is the proportion of surviving cells for a single dose or multiple doses, (2) dose-response methodology, (3) in vivo studies in organisms, when the outcome is a longitudinal measurement such as tumor volume, and (4) clinical studies, when the outcome of treatment is measured by survival. For each design, we developed a specific statistical model and demonstrated how to test for independence, synergy, and antagonism, and compute the associated p-value.","container-title":"PloS One","DOI":"10.1371/journal.pone.0224137","ISSN":"1932-6203","issue":"11","journalAbbreviation":"PLoS One","language":"eng","page":"e0224137","PMID":"31765385","PMCID":"PMC6876842","source":"PubMed","title":"Statistical determination of synergy based on Bliss definition of drugs independence","volume":"14","author":[{"family":"Demidenko","given":"Eugene"},{"family":"Miller","given":"Todd W."}],"issued":{"date-parts":[["2019"]]}}}],"schema":"https://github.com/citation-style-language/schema/raw/master/csl-citation.json"} </w:instrText>
      </w:r>
      <w:r>
        <w:rPr>
          <w:rFonts w:ascii="Times New Roman" w:hAnsi="Times New Roman" w:eastAsia="宋体" w:cs="Times New Roman"/>
          <w:b/>
          <w:bCs/>
          <w:kern w:val="0"/>
          <w:sz w:val="24"/>
          <w:szCs w:val="24"/>
        </w:rPr>
        <w:fldChar w:fldCharType="separate"/>
      </w:r>
      <w:r>
        <w:rPr>
          <w:rFonts w:ascii="Times New Roman" w:hAnsi="Times New Roman" w:cs="Times New Roman"/>
          <w:kern w:val="0"/>
          <w:sz w:val="24"/>
          <w:szCs w:val="24"/>
          <w:vertAlign w:val="superscript"/>
        </w:rPr>
        <w:t>3,4</w:t>
      </w:r>
      <w:r>
        <w:rPr>
          <w:rFonts w:ascii="Times New Roman" w:hAnsi="Times New Roman" w:eastAsia="宋体" w:cs="Times New Roman"/>
          <w:b/>
          <w:bCs/>
          <w:kern w:val="0"/>
          <w:sz w:val="24"/>
          <w:szCs w:val="24"/>
        </w:rPr>
        <w:fldChar w:fldCharType="end"/>
      </w:r>
      <w:r>
        <w:rPr>
          <w:rFonts w:ascii="Times New Roman" w:hAnsi="Times New Roman" w:eastAsia="宋体" w:cs="Times New Roman"/>
          <w:kern w:val="0"/>
          <w:sz w:val="24"/>
          <w:szCs w:val="24"/>
        </w:rPr>
        <w:t>. According to this model, if the observed effect of the FS exceeds the expected additive effect (E</w:t>
      </w:r>
      <w:r>
        <w:rPr>
          <w:rFonts w:ascii="Times New Roman" w:hAnsi="Times New Roman" w:eastAsia="宋体" w:cs="Times New Roman"/>
          <w:kern w:val="0"/>
          <w:sz w:val="24"/>
          <w:szCs w:val="24"/>
          <w:vertAlign w:val="superscript"/>
        </w:rPr>
        <w:t>expected</w:t>
      </w:r>
      <w:r>
        <w:rPr>
          <w:rFonts w:ascii="Times New Roman" w:hAnsi="Times New Roman" w:eastAsia="宋体" w:cs="Times New Roman"/>
          <w:kern w:val="0"/>
          <w:sz w:val="24"/>
          <w:szCs w:val="24"/>
        </w:rPr>
        <w:t>) derived from the individual treatments (FOS and SB), a synergistic interaction is inferred.</w:t>
      </w:r>
    </w:p>
    <w:p w14:paraId="329D9B0B">
      <w:pPr>
        <w:widowControl/>
        <w:adjustRightInd w:val="0"/>
        <w:snapToGrid w:val="0"/>
        <w:spacing w:line="360" w:lineRule="auto"/>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R</w:t>
      </w:r>
      <w:r>
        <w:rPr>
          <w:rFonts w:hint="eastAsia" w:ascii="Times New Roman" w:hAnsi="Times New Roman" w:eastAsia="宋体" w:cs="Times New Roman"/>
          <w:b/>
          <w:kern w:val="0"/>
          <w:sz w:val="24"/>
          <w:szCs w:val="24"/>
        </w:rPr>
        <w:t>esults：</w:t>
      </w:r>
    </w:p>
    <w:p w14:paraId="038107CF">
      <w:pPr>
        <w:widowControl/>
        <w:adjustRightInd w:val="0"/>
        <w:snapToGri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In Figure 1, GLU levels are markedly elevated in the Mod group compared to Con group. The FOS, SB and FS group shows a significant reduction relative to Mod, while FS achieves the lowest level</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 xml:space="preserve"> Figure S3B displays</w:t>
      </w:r>
      <w:bookmarkStart w:id="3" w:name="OLE_LINK2"/>
      <w:bookmarkStart w:id="4" w:name="OLE_LINK1"/>
      <w:r>
        <w:rPr>
          <w:rFonts w:ascii="Times New Roman" w:hAnsi="Times New Roman" w:eastAsia="宋体" w:cs="Times New Roman"/>
          <w:kern w:val="0"/>
          <w:sz w:val="24"/>
          <w:szCs w:val="24"/>
        </w:rPr>
        <w:t xml:space="preserve"> </w:t>
      </w:r>
      <w:bookmarkEnd w:id="3"/>
      <w:bookmarkEnd w:id="4"/>
      <w:r>
        <w:rPr>
          <w:rFonts w:ascii="Times New Roman" w:hAnsi="Times New Roman" w:eastAsia="宋体" w:cs="Times New Roman"/>
          <w:kern w:val="0"/>
          <w:sz w:val="24"/>
          <w:szCs w:val="24"/>
        </w:rPr>
        <w:t>TG levels, which follows a similar trend.</w:t>
      </w:r>
      <w:r>
        <w:t xml:space="preserve"> </w:t>
      </w:r>
      <w:r>
        <w:rPr>
          <w:rFonts w:ascii="Times New Roman" w:hAnsi="Times New Roman" w:eastAsia="宋体" w:cs="Times New Roman"/>
          <w:kern w:val="0"/>
          <w:sz w:val="24"/>
          <w:szCs w:val="24"/>
        </w:rPr>
        <w:t>In Figure C, TC levels are markedly elevated in the Mod group compared to Con group. Both the FOS and SB groups show non-significant difference compared to Con group, while FS group show significant decreased (p &lt; 0.01).</w:t>
      </w:r>
      <w:r>
        <w:rPr>
          <w:rFonts w:hint="eastAsia" w:ascii="Times New Roman" w:hAnsi="Times New Roman" w:eastAsia="宋体" w:cs="Times New Roman"/>
          <w:kern w:val="0"/>
          <w:sz w:val="24"/>
          <w:szCs w:val="24"/>
        </w:rPr>
        <w:t xml:space="preserve"> </w:t>
      </w:r>
      <w:r>
        <w:rPr>
          <w:rFonts w:ascii="Times New Roman" w:hAnsi="Times New Roman" w:eastAsia="宋体" w:cs="Times New Roman"/>
          <w:kern w:val="0"/>
          <w:sz w:val="24"/>
          <w:szCs w:val="24"/>
        </w:rPr>
        <w:t xml:space="preserve">Collectively, these results reveal distinct patterns of response across interventions, particularly showing enhanced efficacy of the combined FS regimen on GLU, TG and TC levels. </w:t>
      </w:r>
    </w:p>
    <w:p w14:paraId="7D415AE5">
      <w:pPr>
        <w:widowControl/>
        <w:adjustRightInd w:val="0"/>
        <w:snapToGri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The observed efficacy followed a consistent sequential pattern across all measured metabolic parameters: FOS &lt; SB &lt; FS. This dose-independent, hierarchical response strongly suggests that the combination of FOS and SB exerts either additive or synergistic effects in modulating glucose and lipid metabolism in zebrafish larvae. To formally assess the nature of this interaction, we applied the Bliss independence model to evaluate whether the FS produced effects beyond simple additivity. As shown in Table 1, the experimentally observed reductions in glucose, TC, and TG levels by the FS combination were consistently greater than the E</w:t>
      </w:r>
      <w:r>
        <w:rPr>
          <w:rFonts w:ascii="Times New Roman" w:hAnsi="Times New Roman" w:eastAsia="宋体" w:cs="Times New Roman"/>
          <w:kern w:val="0"/>
          <w:sz w:val="24"/>
          <w:szCs w:val="24"/>
          <w:vertAlign w:val="superscript"/>
        </w:rPr>
        <w:t>expected</w:t>
      </w:r>
      <w:r>
        <w:rPr>
          <w:rFonts w:ascii="Times New Roman" w:hAnsi="Times New Roman" w:eastAsia="宋体" w:cs="Times New Roman"/>
          <w:kern w:val="0"/>
          <w:sz w:val="24"/>
          <w:szCs w:val="24"/>
        </w:rPr>
        <w:t xml:space="preserve"> calculated from the individual FOS and SB treatments. </w:t>
      </w:r>
    </w:p>
    <w:p w14:paraId="0BB844FD">
      <w:pPr>
        <w:widowControl/>
        <w:adjustRightInd w:val="0"/>
        <w:snapToGrid w:val="0"/>
        <w:spacing w:line="360" w:lineRule="auto"/>
        <w:ind w:firstLine="480" w:firstLineChars="200"/>
        <w:rPr>
          <w:rFonts w:ascii="Times New Roman" w:hAnsi="Times New Roman" w:eastAsia="宋体" w:cs="Times New Roman"/>
          <w:b/>
          <w:bCs/>
          <w:kern w:val="0"/>
          <w:sz w:val="24"/>
          <w:szCs w:val="24"/>
        </w:rPr>
      </w:pPr>
      <w:r>
        <w:rPr>
          <w:rFonts w:ascii="Times New Roman" w:hAnsi="Times New Roman" w:eastAsia="宋体" w:cs="Times New Roman"/>
          <w:kern w:val="0"/>
          <w:sz w:val="24"/>
          <w:szCs w:val="24"/>
        </w:rPr>
        <w:t xml:space="preserve">These results provide quantitative evidence of a synergistic interaction between FOS and SB in ameliorating hyperglycemia and dyslipidemia in zebrafish models. </w:t>
      </w:r>
      <w:r>
        <w:rPr>
          <w:rFonts w:ascii="Times New Roman" w:hAnsi="Times New Roman" w:eastAsia="宋体" w:cs="Times New Roman"/>
          <w:bCs/>
          <w:kern w:val="0"/>
          <w:sz w:val="24"/>
          <w:szCs w:val="24"/>
        </w:rPr>
        <w:t xml:space="preserve">The FS group's superior performance in lowering GLU, TG and TC, highlights the therapeutic potential of the combined regimen. </w:t>
      </w:r>
    </w:p>
    <w:p w14:paraId="665DB606">
      <w:pPr>
        <w:widowControl/>
        <w:adjustRightInd w:val="0"/>
        <w:snapToGrid w:val="0"/>
        <w:spacing w:line="360" w:lineRule="auto"/>
        <w:ind w:firstLine="480" w:firstLineChars="200"/>
        <w:rPr>
          <w:rFonts w:ascii="Times New Roman" w:hAnsi="Times New Roman" w:eastAsia="宋体" w:cs="Times New Roman"/>
          <w:kern w:val="0"/>
          <w:sz w:val="24"/>
          <w:szCs w:val="24"/>
        </w:rPr>
      </w:pPr>
    </w:p>
    <w:p w14:paraId="1AC333F9">
      <w:pPr>
        <w:widowControl/>
        <w:adjustRightInd w:val="0"/>
        <w:snapToGrid w:val="0"/>
        <w:spacing w:line="360" w:lineRule="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drawing>
          <wp:inline distT="0" distB="0" distL="0" distR="0">
            <wp:extent cx="5274310" cy="2281555"/>
            <wp:effectExtent l="0" t="0" r="254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2281555"/>
                    </a:xfrm>
                    <a:prstGeom prst="rect">
                      <a:avLst/>
                    </a:prstGeom>
                  </pic:spPr>
                </pic:pic>
              </a:graphicData>
            </a:graphic>
          </wp:inline>
        </w:drawing>
      </w:r>
    </w:p>
    <w:p w14:paraId="53E88FFD">
      <w:pPr>
        <w:widowControl/>
        <w:adjustRightInd w:val="0"/>
        <w:snapToGrid w:val="0"/>
        <w:spacing w:line="360" w:lineRule="auto"/>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F</w:t>
      </w:r>
      <w:r>
        <w:rPr>
          <w:rFonts w:hint="eastAsia" w:ascii="Times New Roman" w:hAnsi="Times New Roman" w:eastAsia="宋体" w:cs="Times New Roman"/>
          <w:b/>
          <w:kern w:val="0"/>
          <w:sz w:val="24"/>
          <w:szCs w:val="24"/>
        </w:rPr>
        <w:t>igure</w:t>
      </w:r>
      <w:r>
        <w:rPr>
          <w:rFonts w:ascii="Times New Roman" w:hAnsi="Times New Roman" w:eastAsia="宋体" w:cs="Times New Roman"/>
          <w:b/>
          <w:kern w:val="0"/>
          <w:sz w:val="24"/>
          <w:szCs w:val="24"/>
        </w:rPr>
        <w:t xml:space="preserve"> 1 FOS</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 xml:space="preserve"> SB </w:t>
      </w:r>
      <w:r>
        <w:rPr>
          <w:rFonts w:hint="eastAsia" w:ascii="Times New Roman" w:hAnsi="Times New Roman" w:eastAsia="宋体" w:cs="Times New Roman"/>
          <w:b/>
          <w:kern w:val="0"/>
          <w:sz w:val="24"/>
          <w:szCs w:val="24"/>
        </w:rPr>
        <w:t>and</w:t>
      </w:r>
      <w:r>
        <w:rPr>
          <w:rFonts w:ascii="Times New Roman" w:hAnsi="Times New Roman" w:eastAsia="宋体" w:cs="Times New Roman"/>
          <w:b/>
          <w:kern w:val="0"/>
          <w:sz w:val="24"/>
          <w:szCs w:val="24"/>
        </w:rPr>
        <w:t xml:space="preserve"> FS </w:t>
      </w:r>
      <w:r>
        <w:rPr>
          <w:rFonts w:hint="eastAsia" w:ascii="Times New Roman" w:hAnsi="Times New Roman" w:eastAsia="宋体" w:cs="Times New Roman"/>
          <w:b/>
          <w:kern w:val="0"/>
          <w:sz w:val="24"/>
          <w:szCs w:val="24"/>
        </w:rPr>
        <w:t>intervation</w:t>
      </w:r>
      <w:r>
        <w:rPr>
          <w:rFonts w:ascii="Times New Roman" w:hAnsi="Times New Roman" w:eastAsia="宋体" w:cs="Times New Roman"/>
          <w:b/>
          <w:kern w:val="0"/>
          <w:sz w:val="24"/>
          <w:szCs w:val="24"/>
        </w:rPr>
        <w:t xml:space="preserve"> </w:t>
      </w:r>
      <w:r>
        <w:rPr>
          <w:rFonts w:hint="eastAsia" w:ascii="Times New Roman" w:hAnsi="Times New Roman" w:eastAsia="宋体" w:cs="Times New Roman"/>
          <w:b/>
          <w:kern w:val="0"/>
          <w:sz w:val="24"/>
          <w:szCs w:val="24"/>
        </w:rPr>
        <w:t>on</w:t>
      </w:r>
      <w:r>
        <w:rPr>
          <w:rFonts w:ascii="Times New Roman" w:hAnsi="Times New Roman" w:eastAsia="宋体" w:cs="Times New Roman"/>
          <w:b/>
          <w:kern w:val="0"/>
          <w:sz w:val="24"/>
          <w:szCs w:val="24"/>
        </w:rPr>
        <w:t xml:space="preserve"> </w:t>
      </w:r>
      <w:r>
        <w:rPr>
          <w:rFonts w:hint="eastAsia" w:ascii="Times New Roman" w:hAnsi="Times New Roman" w:eastAsia="宋体" w:cs="Times New Roman"/>
          <w:b/>
          <w:kern w:val="0"/>
          <w:sz w:val="24"/>
          <w:szCs w:val="24"/>
        </w:rPr>
        <w:t xml:space="preserve">glucose, </w:t>
      </w:r>
      <w:r>
        <w:rPr>
          <w:rFonts w:ascii="Times New Roman" w:hAnsi="Times New Roman" w:eastAsia="宋体" w:cs="Times New Roman"/>
          <w:b/>
          <w:kern w:val="0"/>
          <w:sz w:val="24"/>
          <w:szCs w:val="24"/>
        </w:rPr>
        <w:t xml:space="preserve">TG and TC concentrations on zebrafish hyperglycaemia </w:t>
      </w:r>
      <w:r>
        <w:rPr>
          <w:rFonts w:ascii="Times New Roman" w:hAnsi="Times New Roman" w:eastAsia="宋体" w:cs="Times New Roman"/>
          <w:b/>
          <w:bCs/>
          <w:kern w:val="0"/>
          <w:sz w:val="24"/>
          <w:szCs w:val="24"/>
        </w:rPr>
        <w:t>model</w:t>
      </w:r>
      <w:r>
        <w:rPr>
          <w:rFonts w:hint="eastAsia" w:ascii="Times New Roman" w:hAnsi="Times New Roman" w:eastAsia="宋体" w:cs="Times New Roman"/>
          <w:b/>
          <w:kern w:val="0"/>
          <w:sz w:val="24"/>
          <w:szCs w:val="24"/>
        </w:rPr>
        <w:t xml:space="preserve"> and</w:t>
      </w:r>
      <w:r>
        <w:rPr>
          <w:rFonts w:ascii="Times New Roman" w:hAnsi="Times New Roman" w:eastAsia="宋体" w:cs="Times New Roman"/>
          <w:b/>
          <w:kern w:val="0"/>
          <w:sz w:val="24"/>
          <w:szCs w:val="24"/>
        </w:rPr>
        <w:t xml:space="preserve"> </w:t>
      </w:r>
      <w:r>
        <w:rPr>
          <w:rFonts w:ascii="Times New Roman" w:hAnsi="Times New Roman" w:eastAsia="宋体" w:cs="Times New Roman"/>
          <w:b/>
          <w:bCs/>
          <w:kern w:val="0"/>
          <w:sz w:val="24"/>
          <w:szCs w:val="24"/>
        </w:rPr>
        <w:t xml:space="preserve">hyperlipidemia model. </w:t>
      </w:r>
      <w:r>
        <w:rPr>
          <w:rFonts w:ascii="Times New Roman" w:hAnsi="Times New Roman" w:eastAsia="宋体" w:cs="Times New Roman"/>
          <w:kern w:val="0"/>
          <w:sz w:val="24"/>
          <w:szCs w:val="24"/>
        </w:rPr>
        <w:t>A</w:t>
      </w:r>
      <w:r>
        <w:rPr>
          <w:rFonts w:hint="eastAsia" w:ascii="Times New Roman" w:hAnsi="Times New Roman" w:eastAsia="宋体" w:cs="Times New Roman"/>
          <w:kern w:val="0"/>
          <w:sz w:val="24"/>
          <w:szCs w:val="24"/>
        </w:rPr>
        <w:t>l</w:t>
      </w:r>
      <w:r>
        <w:rPr>
          <w:rFonts w:ascii="Times New Roman" w:hAnsi="Times New Roman" w:eastAsia="宋体" w:cs="Times New Roman"/>
          <w:kern w:val="0"/>
          <w:sz w:val="24"/>
          <w:szCs w:val="24"/>
        </w:rPr>
        <w:t xml:space="preserve">l statistical testing by </w:t>
      </w:r>
      <w:r>
        <w:rPr>
          <w:rFonts w:ascii="Times New Roman" w:hAnsi="Times New Roman" w:eastAsia="宋体" w:cs="Times New Roman"/>
          <w:i/>
          <w:kern w:val="0"/>
          <w:sz w:val="24"/>
          <w:szCs w:val="24"/>
        </w:rPr>
        <w:t>t</w:t>
      </w:r>
      <w:r>
        <w:rPr>
          <w:rFonts w:ascii="Times New Roman" w:hAnsi="Times New Roman" w:eastAsia="宋体" w:cs="Times New Roman"/>
          <w:kern w:val="0"/>
          <w:sz w:val="24"/>
          <w:szCs w:val="24"/>
        </w:rPr>
        <w:t xml:space="preserve"> test. Data are representative of 3 biological replicates. *</w:t>
      </w:r>
      <w:r>
        <w:rPr>
          <w:rFonts w:ascii="Times New Roman" w:hAnsi="Times New Roman" w:eastAsia="宋体" w:cs="Times New Roman"/>
          <w:i/>
          <w:kern w:val="0"/>
          <w:sz w:val="24"/>
          <w:szCs w:val="24"/>
        </w:rPr>
        <w:t>P</w:t>
      </w:r>
      <w:r>
        <w:rPr>
          <w:rFonts w:ascii="Times New Roman" w:hAnsi="Times New Roman" w:eastAsia="宋体" w:cs="Times New Roman"/>
          <w:kern w:val="0"/>
          <w:sz w:val="24"/>
          <w:szCs w:val="24"/>
        </w:rPr>
        <w:t xml:space="preserve"> &lt; 0.05, **</w:t>
      </w:r>
      <w:r>
        <w:rPr>
          <w:rFonts w:ascii="Times New Roman" w:hAnsi="Times New Roman" w:eastAsia="宋体" w:cs="Times New Roman"/>
          <w:i/>
          <w:kern w:val="0"/>
          <w:sz w:val="24"/>
          <w:szCs w:val="24"/>
        </w:rPr>
        <w:t>P</w:t>
      </w:r>
      <w:r>
        <w:rPr>
          <w:rFonts w:ascii="Times New Roman" w:hAnsi="Times New Roman" w:eastAsia="宋体" w:cs="Times New Roman"/>
          <w:kern w:val="0"/>
          <w:sz w:val="24"/>
          <w:szCs w:val="24"/>
        </w:rPr>
        <w:t xml:space="preserve"> &lt; 0.01, ***</w:t>
      </w:r>
      <w:r>
        <w:rPr>
          <w:rFonts w:ascii="Times New Roman" w:hAnsi="Times New Roman" w:eastAsia="宋体" w:cs="Times New Roman"/>
          <w:i/>
          <w:kern w:val="0"/>
          <w:sz w:val="24"/>
          <w:szCs w:val="24"/>
        </w:rPr>
        <w:t>P</w:t>
      </w:r>
      <w:r>
        <w:rPr>
          <w:rFonts w:ascii="Times New Roman" w:hAnsi="Times New Roman" w:eastAsia="宋体" w:cs="Times New Roman"/>
          <w:kern w:val="0"/>
          <w:sz w:val="24"/>
          <w:szCs w:val="24"/>
        </w:rPr>
        <w:t xml:space="preserve"> &lt; 0.01, ns: not significant.</w:t>
      </w:r>
    </w:p>
    <w:p w14:paraId="69B5FC4E">
      <w:pPr>
        <w:widowControl/>
        <w:adjustRightInd w:val="0"/>
        <w:snapToGrid w:val="0"/>
        <w:spacing w:line="360" w:lineRule="auto"/>
        <w:rPr>
          <w:rFonts w:ascii="Times New Roman" w:hAnsi="Times New Roman" w:eastAsia="宋体" w:cs="Times New Roman"/>
          <w:b/>
          <w:bCs/>
          <w:kern w:val="0"/>
          <w:sz w:val="24"/>
          <w:szCs w:val="24"/>
        </w:rPr>
      </w:pPr>
    </w:p>
    <w:p w14:paraId="5EB2434B">
      <w:pPr>
        <w:widowControl/>
        <w:adjustRightInd w:val="0"/>
        <w:snapToGrid w:val="0"/>
        <w:spacing w:line="360" w:lineRule="auto"/>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Tab</w:t>
      </w:r>
      <w:r>
        <w:rPr>
          <w:rFonts w:hint="eastAsia" w:ascii="Times New Roman" w:hAnsi="Times New Roman" w:eastAsia="宋体" w:cs="Times New Roman"/>
          <w:b/>
          <w:bCs/>
          <w:kern w:val="0"/>
          <w:sz w:val="24"/>
          <w:szCs w:val="24"/>
        </w:rPr>
        <w:t>le</w:t>
      </w:r>
      <w:r>
        <w:rPr>
          <w:rFonts w:ascii="Times New Roman" w:hAnsi="Times New Roman" w:eastAsia="宋体" w:cs="Times New Roman"/>
          <w:b/>
          <w:bCs/>
          <w:kern w:val="0"/>
          <w:sz w:val="24"/>
          <w:szCs w:val="24"/>
        </w:rPr>
        <w:t xml:space="preserve"> 1: The efficacy of the FOS, SB and FS intervation on glucose and lipid concentrations in zebrafish larvae</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0"/>
        <w:gridCol w:w="1176"/>
        <w:gridCol w:w="960"/>
        <w:gridCol w:w="960"/>
        <w:gridCol w:w="960"/>
        <w:gridCol w:w="960"/>
        <w:gridCol w:w="976"/>
      </w:tblGrid>
      <w:tr w14:paraId="0DBB1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060" w:type="dxa"/>
            <w:tcBorders>
              <w:top w:val="single" w:color="auto" w:sz="12" w:space="0"/>
              <w:left w:val="single" w:color="FFFFFF" w:themeColor="background1" w:sz="4" w:space="0"/>
              <w:bottom w:val="single" w:color="auto" w:sz="6" w:space="0"/>
              <w:right w:val="single" w:color="FFFFFF" w:themeColor="background1" w:sz="4" w:space="0"/>
            </w:tcBorders>
            <w:shd w:val="clear" w:color="auto" w:fill="auto"/>
            <w:noWrap/>
          </w:tcPr>
          <w:p w14:paraId="118E0783">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model</w:t>
            </w:r>
          </w:p>
        </w:tc>
        <w:tc>
          <w:tcPr>
            <w:tcW w:w="960" w:type="dxa"/>
            <w:tcBorders>
              <w:top w:val="single" w:color="auto" w:sz="12" w:space="0"/>
              <w:left w:val="single" w:color="FFFFFF" w:themeColor="background1" w:sz="4" w:space="0"/>
              <w:bottom w:val="single" w:color="auto" w:sz="6" w:space="0"/>
              <w:right w:val="single" w:color="FFFFFF" w:themeColor="background1" w:sz="4" w:space="0"/>
            </w:tcBorders>
            <w:shd w:val="clear" w:color="auto" w:fill="auto"/>
            <w:noWrap/>
          </w:tcPr>
          <w:p w14:paraId="3AE70A13">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parameter</w:t>
            </w:r>
          </w:p>
        </w:tc>
        <w:tc>
          <w:tcPr>
            <w:tcW w:w="960" w:type="dxa"/>
            <w:tcBorders>
              <w:top w:val="single" w:color="auto" w:sz="12" w:space="0"/>
              <w:left w:val="single" w:color="FFFFFF" w:themeColor="background1" w:sz="4" w:space="0"/>
              <w:bottom w:val="single" w:color="auto" w:sz="6" w:space="0"/>
              <w:right w:val="single" w:color="FFFFFF" w:themeColor="background1" w:sz="4" w:space="0"/>
            </w:tcBorders>
            <w:shd w:val="clear" w:color="auto" w:fill="auto"/>
            <w:noWrap/>
          </w:tcPr>
          <w:p w14:paraId="2245BB79">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E</w:t>
            </w:r>
            <w:r>
              <w:rPr>
                <w:rFonts w:ascii="Times New Roman" w:hAnsi="Times New Roman" w:eastAsia="宋体" w:cs="Times New Roman"/>
                <w:bCs/>
                <w:kern w:val="0"/>
                <w:sz w:val="24"/>
                <w:szCs w:val="24"/>
                <w:vertAlign w:val="subscript"/>
              </w:rPr>
              <w:t>FOS</w:t>
            </w:r>
          </w:p>
        </w:tc>
        <w:tc>
          <w:tcPr>
            <w:tcW w:w="960" w:type="dxa"/>
            <w:tcBorders>
              <w:top w:val="single" w:color="auto" w:sz="12" w:space="0"/>
              <w:left w:val="single" w:color="FFFFFF" w:themeColor="background1" w:sz="4" w:space="0"/>
              <w:bottom w:val="single" w:color="auto" w:sz="6" w:space="0"/>
              <w:right w:val="single" w:color="FFFFFF" w:themeColor="background1" w:sz="4" w:space="0"/>
            </w:tcBorders>
            <w:shd w:val="clear" w:color="auto" w:fill="auto"/>
            <w:noWrap/>
          </w:tcPr>
          <w:p w14:paraId="5400A71B">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E</w:t>
            </w:r>
            <w:r>
              <w:rPr>
                <w:rFonts w:ascii="Times New Roman" w:hAnsi="Times New Roman" w:eastAsia="宋体" w:cs="Times New Roman"/>
                <w:bCs/>
                <w:kern w:val="0"/>
                <w:sz w:val="24"/>
                <w:szCs w:val="24"/>
                <w:vertAlign w:val="subscript"/>
              </w:rPr>
              <w:t>SB</w:t>
            </w:r>
          </w:p>
        </w:tc>
        <w:tc>
          <w:tcPr>
            <w:tcW w:w="960" w:type="dxa"/>
            <w:tcBorders>
              <w:top w:val="single" w:color="auto" w:sz="12" w:space="0"/>
              <w:left w:val="single" w:color="FFFFFF" w:themeColor="background1" w:sz="4" w:space="0"/>
              <w:bottom w:val="single" w:color="auto" w:sz="6" w:space="0"/>
              <w:right w:val="single" w:color="FFFFFF" w:themeColor="background1" w:sz="4" w:space="0"/>
            </w:tcBorders>
            <w:shd w:val="clear" w:color="auto" w:fill="auto"/>
            <w:noWrap/>
          </w:tcPr>
          <w:p w14:paraId="0612C86F">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E</w:t>
            </w:r>
            <w:r>
              <w:rPr>
                <w:rFonts w:ascii="Times New Roman" w:hAnsi="Times New Roman" w:eastAsia="宋体" w:cs="Times New Roman"/>
                <w:bCs/>
                <w:kern w:val="0"/>
                <w:sz w:val="24"/>
                <w:szCs w:val="24"/>
                <w:vertAlign w:val="subscript"/>
              </w:rPr>
              <w:t>FS</w:t>
            </w:r>
          </w:p>
        </w:tc>
        <w:tc>
          <w:tcPr>
            <w:tcW w:w="960" w:type="dxa"/>
            <w:tcBorders>
              <w:top w:val="single" w:color="auto" w:sz="12" w:space="0"/>
              <w:left w:val="single" w:color="FFFFFF" w:themeColor="background1" w:sz="4" w:space="0"/>
              <w:bottom w:val="single" w:color="auto" w:sz="6" w:space="0"/>
              <w:right w:val="single" w:color="FFFFFF" w:themeColor="background1" w:sz="4" w:space="0"/>
            </w:tcBorders>
            <w:shd w:val="clear" w:color="auto" w:fill="auto"/>
            <w:noWrap/>
          </w:tcPr>
          <w:p w14:paraId="773E03C3">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E</w:t>
            </w:r>
            <w:r>
              <w:rPr>
                <w:rFonts w:ascii="Times New Roman" w:hAnsi="Times New Roman" w:eastAsia="宋体" w:cs="Times New Roman"/>
                <w:bCs/>
                <w:kern w:val="0"/>
                <w:sz w:val="24"/>
                <w:szCs w:val="24"/>
                <w:vertAlign w:val="superscript"/>
              </w:rPr>
              <w:t>expected</w:t>
            </w:r>
          </w:p>
        </w:tc>
        <w:tc>
          <w:tcPr>
            <w:tcW w:w="960" w:type="dxa"/>
            <w:tcBorders>
              <w:top w:val="single" w:color="auto" w:sz="12" w:space="0"/>
              <w:left w:val="single" w:color="FFFFFF" w:themeColor="background1" w:sz="4" w:space="0"/>
              <w:bottom w:val="single" w:color="auto" w:sz="6" w:space="0"/>
              <w:right w:val="single" w:color="FFFFFF" w:themeColor="background1" w:sz="4" w:space="0"/>
            </w:tcBorders>
            <w:shd w:val="clear" w:color="auto" w:fill="auto"/>
            <w:noWrap/>
          </w:tcPr>
          <w:p w14:paraId="4EA5C2C2">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synergy</w:t>
            </w:r>
          </w:p>
        </w:tc>
      </w:tr>
      <w:tr w14:paraId="2DBC9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060" w:type="dxa"/>
            <w:tcBorders>
              <w:top w:val="single" w:color="auto" w:sz="6"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025465C4">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hyperlipidemia</w:t>
            </w:r>
          </w:p>
        </w:tc>
        <w:tc>
          <w:tcPr>
            <w:tcW w:w="960" w:type="dxa"/>
            <w:tcBorders>
              <w:top w:val="single" w:color="auto" w:sz="6"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4C0FCF36">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TG</w:t>
            </w:r>
          </w:p>
        </w:tc>
        <w:tc>
          <w:tcPr>
            <w:tcW w:w="960" w:type="dxa"/>
            <w:tcBorders>
              <w:top w:val="single" w:color="auto" w:sz="6"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435D0312">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0.1974</w:t>
            </w:r>
          </w:p>
        </w:tc>
        <w:tc>
          <w:tcPr>
            <w:tcW w:w="960" w:type="dxa"/>
            <w:tcBorders>
              <w:top w:val="single" w:color="auto" w:sz="6"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31FEC6E5">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0.2764</w:t>
            </w:r>
          </w:p>
        </w:tc>
        <w:tc>
          <w:tcPr>
            <w:tcW w:w="960" w:type="dxa"/>
            <w:tcBorders>
              <w:top w:val="single" w:color="auto" w:sz="6"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03C4BBC2">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0.4307</w:t>
            </w:r>
          </w:p>
        </w:tc>
        <w:tc>
          <w:tcPr>
            <w:tcW w:w="960" w:type="dxa"/>
            <w:tcBorders>
              <w:top w:val="single" w:color="auto" w:sz="6"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339B2EEE">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0.4192</w:t>
            </w:r>
          </w:p>
        </w:tc>
        <w:tc>
          <w:tcPr>
            <w:tcW w:w="960" w:type="dxa"/>
            <w:tcBorders>
              <w:top w:val="single" w:color="auto" w:sz="6"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13E5BFA7">
            <w:pPr>
              <w:widowControl/>
              <w:adjustRightInd w:val="0"/>
              <w:snapToGrid w:val="0"/>
              <w:spacing w:line="360" w:lineRule="auto"/>
              <w:jc w:val="center"/>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w:t>
            </w:r>
          </w:p>
        </w:tc>
      </w:tr>
      <w:tr w14:paraId="5AFA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06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0F2CEE08">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hyperlipidemia</w:t>
            </w:r>
          </w:p>
        </w:tc>
        <w:tc>
          <w:tcPr>
            <w:tcW w:w="96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67D64D37">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TC</w:t>
            </w:r>
          </w:p>
        </w:tc>
        <w:tc>
          <w:tcPr>
            <w:tcW w:w="96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4B428E61">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0.0482</w:t>
            </w:r>
          </w:p>
        </w:tc>
        <w:tc>
          <w:tcPr>
            <w:tcW w:w="96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5641311B">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0.1048</w:t>
            </w:r>
          </w:p>
        </w:tc>
        <w:tc>
          <w:tcPr>
            <w:tcW w:w="96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3172120D">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0.3809</w:t>
            </w:r>
          </w:p>
        </w:tc>
        <w:tc>
          <w:tcPr>
            <w:tcW w:w="96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7A47682B">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0.1480</w:t>
            </w:r>
          </w:p>
        </w:tc>
        <w:tc>
          <w:tcPr>
            <w:tcW w:w="96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tcPr>
          <w:p w14:paraId="0F36A32B">
            <w:pPr>
              <w:widowControl/>
              <w:adjustRightInd w:val="0"/>
              <w:snapToGrid w:val="0"/>
              <w:spacing w:line="360" w:lineRule="auto"/>
              <w:jc w:val="center"/>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w:t>
            </w:r>
          </w:p>
        </w:tc>
      </w:tr>
      <w:tr w14:paraId="3AB1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060" w:type="dxa"/>
            <w:tcBorders>
              <w:top w:val="single" w:color="FFFFFF" w:themeColor="background1" w:sz="4" w:space="0"/>
              <w:left w:val="single" w:color="FFFFFF" w:themeColor="background1" w:sz="4" w:space="0"/>
              <w:bottom w:val="single" w:color="auto" w:sz="12" w:space="0"/>
              <w:right w:val="single" w:color="FFFFFF" w:themeColor="background1" w:sz="4" w:space="0"/>
            </w:tcBorders>
            <w:shd w:val="clear" w:color="auto" w:fill="auto"/>
            <w:noWrap/>
          </w:tcPr>
          <w:p w14:paraId="6CB8B080">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hyperglycaemia</w:t>
            </w:r>
          </w:p>
        </w:tc>
        <w:tc>
          <w:tcPr>
            <w:tcW w:w="960" w:type="dxa"/>
            <w:tcBorders>
              <w:top w:val="single" w:color="FFFFFF" w:themeColor="background1" w:sz="4" w:space="0"/>
              <w:left w:val="single" w:color="FFFFFF" w:themeColor="background1" w:sz="4" w:space="0"/>
              <w:bottom w:val="single" w:color="auto" w:sz="12" w:space="0"/>
              <w:right w:val="single" w:color="FFFFFF" w:themeColor="background1" w:sz="4" w:space="0"/>
            </w:tcBorders>
            <w:shd w:val="clear" w:color="auto" w:fill="auto"/>
            <w:noWrap/>
          </w:tcPr>
          <w:p w14:paraId="4BC624D9">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Glucose</w:t>
            </w:r>
          </w:p>
        </w:tc>
        <w:tc>
          <w:tcPr>
            <w:tcW w:w="960" w:type="dxa"/>
            <w:tcBorders>
              <w:top w:val="single" w:color="FFFFFF" w:themeColor="background1" w:sz="4" w:space="0"/>
              <w:left w:val="single" w:color="FFFFFF" w:themeColor="background1" w:sz="4" w:space="0"/>
              <w:bottom w:val="single" w:color="auto" w:sz="12" w:space="0"/>
              <w:right w:val="single" w:color="FFFFFF" w:themeColor="background1" w:sz="4" w:space="0"/>
            </w:tcBorders>
            <w:shd w:val="clear" w:color="auto" w:fill="auto"/>
            <w:noWrap/>
          </w:tcPr>
          <w:p w14:paraId="390818CF">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0.1429</w:t>
            </w:r>
          </w:p>
        </w:tc>
        <w:tc>
          <w:tcPr>
            <w:tcW w:w="960" w:type="dxa"/>
            <w:tcBorders>
              <w:top w:val="single" w:color="FFFFFF" w:themeColor="background1" w:sz="4" w:space="0"/>
              <w:left w:val="single" w:color="FFFFFF" w:themeColor="background1" w:sz="4" w:space="0"/>
              <w:bottom w:val="single" w:color="auto" w:sz="12" w:space="0"/>
              <w:right w:val="single" w:color="FFFFFF" w:themeColor="background1" w:sz="4" w:space="0"/>
            </w:tcBorders>
            <w:shd w:val="clear" w:color="auto" w:fill="auto"/>
            <w:noWrap/>
          </w:tcPr>
          <w:p w14:paraId="57B2B5A5">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0.1837</w:t>
            </w:r>
          </w:p>
        </w:tc>
        <w:tc>
          <w:tcPr>
            <w:tcW w:w="960" w:type="dxa"/>
            <w:tcBorders>
              <w:top w:val="single" w:color="FFFFFF" w:themeColor="background1" w:sz="4" w:space="0"/>
              <w:left w:val="single" w:color="FFFFFF" w:themeColor="background1" w:sz="4" w:space="0"/>
              <w:bottom w:val="single" w:color="auto" w:sz="12" w:space="0"/>
              <w:right w:val="single" w:color="FFFFFF" w:themeColor="background1" w:sz="4" w:space="0"/>
            </w:tcBorders>
            <w:shd w:val="clear" w:color="auto" w:fill="auto"/>
            <w:noWrap/>
          </w:tcPr>
          <w:p w14:paraId="7108B0ED">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0.3061</w:t>
            </w:r>
          </w:p>
        </w:tc>
        <w:tc>
          <w:tcPr>
            <w:tcW w:w="960" w:type="dxa"/>
            <w:tcBorders>
              <w:top w:val="single" w:color="FFFFFF" w:themeColor="background1" w:sz="4" w:space="0"/>
              <w:left w:val="single" w:color="FFFFFF" w:themeColor="background1" w:sz="4" w:space="0"/>
              <w:bottom w:val="single" w:color="auto" w:sz="12" w:space="0"/>
              <w:right w:val="single" w:color="FFFFFF" w:themeColor="background1" w:sz="4" w:space="0"/>
            </w:tcBorders>
            <w:shd w:val="clear" w:color="auto" w:fill="auto"/>
            <w:noWrap/>
          </w:tcPr>
          <w:p w14:paraId="5143C7C7">
            <w:pPr>
              <w:widowControl/>
              <w:adjustRightInd w:val="0"/>
              <w:snapToGrid w:val="0"/>
              <w:spacing w:line="360" w:lineRule="auto"/>
              <w:jc w:val="center"/>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0.3003</w:t>
            </w:r>
          </w:p>
        </w:tc>
        <w:tc>
          <w:tcPr>
            <w:tcW w:w="960" w:type="dxa"/>
            <w:tcBorders>
              <w:top w:val="single" w:color="FFFFFF" w:themeColor="background1" w:sz="4" w:space="0"/>
              <w:left w:val="single" w:color="FFFFFF" w:themeColor="background1" w:sz="4" w:space="0"/>
              <w:bottom w:val="single" w:color="auto" w:sz="12" w:space="0"/>
              <w:right w:val="single" w:color="FFFFFF" w:themeColor="background1" w:sz="4" w:space="0"/>
            </w:tcBorders>
            <w:shd w:val="clear" w:color="auto" w:fill="auto"/>
            <w:noWrap/>
          </w:tcPr>
          <w:p w14:paraId="559BAB21">
            <w:pPr>
              <w:widowControl/>
              <w:adjustRightInd w:val="0"/>
              <w:snapToGrid w:val="0"/>
              <w:spacing w:line="360" w:lineRule="auto"/>
              <w:jc w:val="center"/>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w:t>
            </w:r>
          </w:p>
        </w:tc>
      </w:tr>
    </w:tbl>
    <w:p w14:paraId="7C1E94C4">
      <w:pPr>
        <w:widowControl/>
        <w:adjustRightInd w:val="0"/>
        <w:snapToGrid w:val="0"/>
        <w:spacing w:line="360" w:lineRule="auto"/>
        <w:rPr>
          <w:rFonts w:ascii="Times New Roman" w:hAnsi="Times New Roman" w:eastAsia="宋体" w:cs="Times New Roman"/>
          <w:b/>
          <w:bCs/>
          <w:kern w:val="0"/>
          <w:szCs w:val="21"/>
        </w:rPr>
      </w:pPr>
      <w:r>
        <w:rPr>
          <w:rFonts w:ascii="Times New Roman" w:hAnsi="Times New Roman" w:eastAsia="宋体" w:cs="Times New Roman"/>
          <w:bCs/>
          <w:kern w:val="0"/>
          <w:szCs w:val="24"/>
        </w:rPr>
        <w:t>Note:</w:t>
      </w:r>
      <w:r>
        <w:rPr>
          <w:sz w:val="18"/>
        </w:rPr>
        <w:t xml:space="preserve"> </w:t>
      </w:r>
      <w:r>
        <w:rPr>
          <w:rFonts w:ascii="Times New Roman" w:hAnsi="Times New Roman" w:eastAsia="宋体" w:cs="Times New Roman"/>
          <w:bCs/>
          <w:kern w:val="0"/>
          <w:szCs w:val="24"/>
        </w:rPr>
        <w:t>E</w:t>
      </w:r>
      <w:r>
        <w:rPr>
          <w:rFonts w:ascii="Times New Roman" w:hAnsi="Times New Roman" w:eastAsia="宋体" w:cs="Times New Roman"/>
          <w:bCs/>
          <w:kern w:val="0"/>
          <w:szCs w:val="24"/>
          <w:vertAlign w:val="subscript"/>
        </w:rPr>
        <w:t>FOS</w:t>
      </w:r>
      <w:r>
        <w:rPr>
          <w:rFonts w:ascii="Times New Roman" w:hAnsi="Times New Roman" w:eastAsia="宋体" w:cs="Times New Roman"/>
          <w:bCs/>
          <w:kern w:val="0"/>
          <w:szCs w:val="24"/>
        </w:rPr>
        <w:t xml:space="preserve"> = (Mod – FOS)/Mod;</w:t>
      </w:r>
      <w:r>
        <w:rPr>
          <w:rFonts w:hint="eastAsia" w:ascii="Times New Roman" w:hAnsi="Times New Roman" w:eastAsia="宋体" w:cs="Times New Roman"/>
          <w:bCs/>
          <w:kern w:val="0"/>
          <w:szCs w:val="24"/>
        </w:rPr>
        <w:t xml:space="preserve"> </w:t>
      </w:r>
      <w:r>
        <w:rPr>
          <w:rFonts w:ascii="Times New Roman" w:hAnsi="Times New Roman" w:eastAsia="宋体" w:cs="Times New Roman"/>
          <w:bCs/>
          <w:kern w:val="0"/>
          <w:szCs w:val="24"/>
        </w:rPr>
        <w:t>E</w:t>
      </w:r>
      <w:r>
        <w:rPr>
          <w:rFonts w:ascii="Times New Roman" w:hAnsi="Times New Roman" w:eastAsia="宋体" w:cs="Times New Roman"/>
          <w:bCs/>
          <w:kern w:val="0"/>
          <w:szCs w:val="24"/>
          <w:vertAlign w:val="subscript"/>
        </w:rPr>
        <w:t>SB</w:t>
      </w:r>
      <w:r>
        <w:rPr>
          <w:rFonts w:ascii="Times New Roman" w:hAnsi="Times New Roman" w:eastAsia="宋体" w:cs="Times New Roman"/>
          <w:bCs/>
          <w:kern w:val="0"/>
          <w:szCs w:val="24"/>
        </w:rPr>
        <w:t xml:space="preserve"> = (Mod – SB)/Mod; E</w:t>
      </w:r>
      <w:r>
        <w:rPr>
          <w:rFonts w:ascii="Times New Roman" w:hAnsi="Times New Roman" w:eastAsia="宋体" w:cs="Times New Roman"/>
          <w:bCs/>
          <w:kern w:val="0"/>
          <w:szCs w:val="24"/>
          <w:vertAlign w:val="subscript"/>
        </w:rPr>
        <w:t>FS</w:t>
      </w:r>
      <w:r>
        <w:rPr>
          <w:rFonts w:ascii="Times New Roman" w:hAnsi="Times New Roman" w:eastAsia="宋体" w:cs="Times New Roman"/>
          <w:bCs/>
          <w:kern w:val="0"/>
          <w:szCs w:val="24"/>
        </w:rPr>
        <w:t xml:space="preserve"> = (Mod – FS)/Mod; E</w:t>
      </w:r>
      <w:r>
        <w:rPr>
          <w:rFonts w:ascii="Times New Roman" w:hAnsi="Times New Roman" w:eastAsia="宋体" w:cs="Times New Roman"/>
          <w:bCs/>
          <w:kern w:val="0"/>
          <w:szCs w:val="24"/>
          <w:vertAlign w:val="superscript"/>
        </w:rPr>
        <w:t>expected</w:t>
      </w:r>
      <w:r>
        <w:rPr>
          <w:rFonts w:ascii="Times New Roman" w:hAnsi="Times New Roman" w:eastAsia="宋体" w:cs="Times New Roman"/>
          <w:bCs/>
          <w:kern w:val="0"/>
          <w:szCs w:val="24"/>
        </w:rPr>
        <w:t xml:space="preserve"> = E</w:t>
      </w:r>
      <w:r>
        <w:rPr>
          <w:rFonts w:ascii="Times New Roman" w:hAnsi="Times New Roman" w:eastAsia="宋体" w:cs="Times New Roman"/>
          <w:bCs/>
          <w:kern w:val="0"/>
          <w:szCs w:val="24"/>
          <w:vertAlign w:val="subscript"/>
        </w:rPr>
        <w:t>FOS</w:t>
      </w:r>
      <w:r>
        <w:rPr>
          <w:rFonts w:ascii="Times New Roman" w:hAnsi="Times New Roman" w:eastAsia="宋体" w:cs="Times New Roman"/>
          <w:bCs/>
          <w:kern w:val="0"/>
          <w:szCs w:val="24"/>
        </w:rPr>
        <w:t xml:space="preserve"> + E</w:t>
      </w:r>
      <w:r>
        <w:rPr>
          <w:rFonts w:ascii="Times New Roman" w:hAnsi="Times New Roman" w:eastAsia="宋体" w:cs="Times New Roman"/>
          <w:bCs/>
          <w:kern w:val="0"/>
          <w:szCs w:val="24"/>
          <w:vertAlign w:val="subscript"/>
        </w:rPr>
        <w:t>SB</w:t>
      </w:r>
      <w:r>
        <w:rPr>
          <w:rFonts w:ascii="Times New Roman" w:hAnsi="Times New Roman" w:eastAsia="宋体" w:cs="Times New Roman"/>
          <w:bCs/>
          <w:kern w:val="0"/>
          <w:szCs w:val="24"/>
        </w:rPr>
        <w:t xml:space="preserve"> – E</w:t>
      </w:r>
      <w:r>
        <w:rPr>
          <w:rFonts w:ascii="Times New Roman" w:hAnsi="Times New Roman" w:eastAsia="宋体" w:cs="Times New Roman"/>
          <w:bCs/>
          <w:kern w:val="0"/>
          <w:szCs w:val="24"/>
          <w:vertAlign w:val="subscript"/>
        </w:rPr>
        <w:t>FOS</w:t>
      </w:r>
      <w:r>
        <w:rPr>
          <w:rFonts w:ascii="Times New Roman" w:hAnsi="Times New Roman" w:eastAsia="宋体" w:cs="Times New Roman"/>
          <w:bCs/>
          <w:kern w:val="0"/>
          <w:szCs w:val="24"/>
        </w:rPr>
        <w:t>E</w:t>
      </w:r>
      <w:r>
        <w:rPr>
          <w:rFonts w:ascii="Times New Roman" w:hAnsi="Times New Roman" w:eastAsia="宋体" w:cs="Times New Roman"/>
          <w:bCs/>
          <w:kern w:val="0"/>
          <w:szCs w:val="24"/>
          <w:vertAlign w:val="subscript"/>
        </w:rPr>
        <w:t>SB</w:t>
      </w:r>
      <w:r>
        <w:rPr>
          <w:rFonts w:ascii="Times New Roman" w:hAnsi="Times New Roman" w:eastAsia="宋体" w:cs="Times New Roman"/>
          <w:bCs/>
          <w:kern w:val="0"/>
          <w:szCs w:val="24"/>
        </w:rPr>
        <w:t xml:space="preserve">; </w:t>
      </w:r>
      <w:r>
        <w:rPr>
          <w:rFonts w:hint="eastAsia" w:ascii="Times New Roman" w:hAnsi="Times New Roman" w:eastAsia="宋体" w:cs="Times New Roman"/>
          <w:bCs/>
          <w:kern w:val="0"/>
          <w:szCs w:val="21"/>
        </w:rPr>
        <w:t>√i</w:t>
      </w:r>
      <w:r>
        <w:rPr>
          <w:rFonts w:ascii="Times New Roman" w:hAnsi="Times New Roman" w:eastAsia="宋体" w:cs="Times New Roman"/>
          <w:bCs/>
          <w:kern w:val="0"/>
          <w:szCs w:val="21"/>
        </w:rPr>
        <w:t>nferred a synergistic interaction.</w:t>
      </w:r>
    </w:p>
    <w:p w14:paraId="726D531B">
      <w:pPr>
        <w:widowControl/>
        <w:adjustRightInd w:val="0"/>
        <w:snapToGrid w:val="0"/>
        <w:spacing w:line="360" w:lineRule="auto"/>
        <w:rPr>
          <w:rFonts w:ascii="Times New Roman" w:hAnsi="Times New Roman" w:eastAsia="宋体" w:cs="Times New Roman"/>
          <w:b/>
          <w:bCs/>
          <w:kern w:val="0"/>
          <w:sz w:val="24"/>
          <w:szCs w:val="24"/>
        </w:rPr>
      </w:pPr>
    </w:p>
    <w:p w14:paraId="331A9DBD">
      <w:pPr>
        <w:widowControl/>
        <w:adjustRightInd w:val="0"/>
        <w:snapToGrid w:val="0"/>
        <w:spacing w:line="360" w:lineRule="auto"/>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R</w:t>
      </w:r>
      <w:r>
        <w:rPr>
          <w:rFonts w:hint="eastAsia" w:ascii="Times New Roman" w:hAnsi="Times New Roman" w:eastAsia="宋体" w:cs="Times New Roman"/>
          <w:b/>
          <w:bCs/>
          <w:kern w:val="0"/>
          <w:sz w:val="24"/>
          <w:szCs w:val="24"/>
        </w:rPr>
        <w:t>eference：</w:t>
      </w:r>
    </w:p>
    <w:p w14:paraId="3F36EF14">
      <w:pPr>
        <w:pStyle w:val="12"/>
        <w:rPr>
          <w:rFonts w:ascii="Times New Roman" w:hAnsi="Times New Roman" w:cs="Times New Roman"/>
        </w:rPr>
      </w:pPr>
      <w:r>
        <w:fldChar w:fldCharType="begin"/>
      </w:r>
      <w:r>
        <w:instrText xml:space="preserve"> ADDIN ZOTERO_BIBL {"uncited":[],"omitted":[],"custom":[]} CSL_BIBLIOGRAPHY </w:instrText>
      </w:r>
      <w:r>
        <w:fldChar w:fldCharType="separate"/>
      </w:r>
      <w:r>
        <w:rPr>
          <w:rFonts w:ascii="Times New Roman" w:hAnsi="Times New Roman" w:cs="Times New Roman"/>
        </w:rPr>
        <w:t>1</w:t>
      </w:r>
      <w:r>
        <w:rPr>
          <w:rFonts w:ascii="Times New Roman" w:hAnsi="Times New Roman" w:cs="Times New Roman"/>
        </w:rPr>
        <w:tab/>
      </w:r>
      <w:r>
        <w:rPr>
          <w:rFonts w:ascii="Times New Roman" w:hAnsi="Times New Roman" w:cs="Times New Roman"/>
        </w:rPr>
        <w:t xml:space="preserve">J. Zhou, Y.-Q. Xu, S.-Y. Guo and C.-Q. Li, Rapid analysis of hypolipidemic drugs in a live zebrafish assay, </w:t>
      </w:r>
      <w:r>
        <w:rPr>
          <w:rFonts w:ascii="Times New Roman" w:hAnsi="Times New Roman" w:cs="Times New Roman"/>
          <w:i/>
          <w:iCs/>
        </w:rPr>
        <w:t>J. Pharmacol. Toxicol. Methods</w:t>
      </w:r>
      <w:r>
        <w:rPr>
          <w:rFonts w:ascii="Times New Roman" w:hAnsi="Times New Roman" w:cs="Times New Roman"/>
        </w:rPr>
        <w:t xml:space="preserve">, 2015, </w:t>
      </w:r>
      <w:r>
        <w:rPr>
          <w:rFonts w:ascii="Times New Roman" w:hAnsi="Times New Roman" w:cs="Times New Roman"/>
          <w:b/>
          <w:bCs/>
        </w:rPr>
        <w:t>72</w:t>
      </w:r>
      <w:r>
        <w:rPr>
          <w:rFonts w:ascii="Times New Roman" w:hAnsi="Times New Roman" w:cs="Times New Roman"/>
        </w:rPr>
        <w:t>, 47–52.</w:t>
      </w:r>
    </w:p>
    <w:p w14:paraId="0D38CF79">
      <w:pPr>
        <w:pStyle w:val="12"/>
        <w:rPr>
          <w:rFonts w:ascii="Times New Roman" w:hAnsi="Times New Roman" w:cs="Times New Roman"/>
        </w:rPr>
      </w:pPr>
      <w:r>
        <w:rPr>
          <w:rFonts w:ascii="Times New Roman" w:hAnsi="Times New Roman" w:cs="Times New Roman"/>
        </w:rPr>
        <w:t>2</w:t>
      </w:r>
      <w:r>
        <w:rPr>
          <w:rFonts w:ascii="Times New Roman" w:hAnsi="Times New Roman" w:cs="Times New Roman"/>
        </w:rPr>
        <w:tab/>
      </w:r>
      <w:r>
        <w:rPr>
          <w:rFonts w:ascii="Times New Roman" w:hAnsi="Times New Roman" w:cs="Times New Roman"/>
        </w:rPr>
        <w:t xml:space="preserve">L. Zang, L. A. Maddison and W. Chen, Zebrafish as a Model for Obesity and Diabetes, </w:t>
      </w:r>
      <w:r>
        <w:rPr>
          <w:rFonts w:ascii="Times New Roman" w:hAnsi="Times New Roman" w:cs="Times New Roman"/>
          <w:i/>
          <w:iCs/>
        </w:rPr>
        <w:t>Front. Cell Dev. Biol.</w:t>
      </w:r>
      <w:r>
        <w:rPr>
          <w:rFonts w:ascii="Times New Roman" w:hAnsi="Times New Roman" w:cs="Times New Roman"/>
        </w:rPr>
        <w:t xml:space="preserve">, 2018, </w:t>
      </w:r>
      <w:r>
        <w:rPr>
          <w:rFonts w:ascii="Times New Roman" w:hAnsi="Times New Roman" w:cs="Times New Roman"/>
          <w:b/>
          <w:bCs/>
        </w:rPr>
        <w:t>6</w:t>
      </w:r>
      <w:r>
        <w:rPr>
          <w:rFonts w:ascii="Times New Roman" w:hAnsi="Times New Roman" w:cs="Times New Roman"/>
        </w:rPr>
        <w:t>, 91.</w:t>
      </w:r>
    </w:p>
    <w:p w14:paraId="733B9461">
      <w:pPr>
        <w:pStyle w:val="12"/>
        <w:rPr>
          <w:rFonts w:ascii="Times New Roman" w:hAnsi="Times New Roman" w:cs="Times New Roman"/>
        </w:rPr>
      </w:pPr>
      <w:r>
        <w:rPr>
          <w:rFonts w:ascii="Times New Roman" w:hAnsi="Times New Roman" w:cs="Times New Roman"/>
        </w:rPr>
        <w:t>3</w:t>
      </w:r>
      <w:r>
        <w:rPr>
          <w:rFonts w:ascii="Times New Roman" w:hAnsi="Times New Roman" w:cs="Times New Roman"/>
        </w:rPr>
        <w:tab/>
      </w:r>
      <w:r>
        <w:rPr>
          <w:rFonts w:ascii="Times New Roman" w:hAnsi="Times New Roman" w:cs="Times New Roman"/>
        </w:rPr>
        <w:t>THE TOXICITY OF POISONS APPLIED JOINTLY1 - BLISS - 1939 - Annals of Applied Biology - Wiley Online Library, https://onlinelibrary.wiley.com/doi/abs/10.1111/j.1744-7348.1939.tb06990.x, (accessed 7 February 2026).</w:t>
      </w:r>
    </w:p>
    <w:p w14:paraId="59C9E738">
      <w:pPr>
        <w:pStyle w:val="12"/>
        <w:rPr>
          <w:rFonts w:ascii="Times New Roman" w:hAnsi="Times New Roman" w:cs="Times New Roman"/>
        </w:rPr>
      </w:pPr>
      <w:r>
        <w:rPr>
          <w:rFonts w:ascii="Times New Roman" w:hAnsi="Times New Roman" w:cs="Times New Roman"/>
        </w:rPr>
        <w:t>4</w:t>
      </w:r>
      <w:r>
        <w:rPr>
          <w:rFonts w:ascii="Times New Roman" w:hAnsi="Times New Roman" w:cs="Times New Roman"/>
        </w:rPr>
        <w:tab/>
      </w:r>
      <w:r>
        <w:rPr>
          <w:rFonts w:ascii="Times New Roman" w:hAnsi="Times New Roman" w:cs="Times New Roman"/>
        </w:rPr>
        <w:t xml:space="preserve">E. Demidenko and T. W. Miller, Statistical determination of synergy based on Bliss definition of drugs independence, </w:t>
      </w:r>
      <w:r>
        <w:rPr>
          <w:rFonts w:ascii="Times New Roman" w:hAnsi="Times New Roman" w:cs="Times New Roman"/>
          <w:i/>
          <w:iCs/>
        </w:rPr>
        <w:t>PloS One</w:t>
      </w:r>
      <w:r>
        <w:rPr>
          <w:rFonts w:ascii="Times New Roman" w:hAnsi="Times New Roman" w:cs="Times New Roman"/>
        </w:rPr>
        <w:t xml:space="preserve">, 2019, </w:t>
      </w:r>
      <w:r>
        <w:rPr>
          <w:rFonts w:ascii="Times New Roman" w:hAnsi="Times New Roman" w:cs="Times New Roman"/>
          <w:b/>
          <w:bCs/>
        </w:rPr>
        <w:t>14</w:t>
      </w:r>
      <w:r>
        <w:rPr>
          <w:rFonts w:ascii="Times New Roman" w:hAnsi="Times New Roman" w:cs="Times New Roman"/>
        </w:rPr>
        <w:t>, e0224137.</w:t>
      </w:r>
    </w:p>
    <w:p w14:paraId="0B1063C7">
      <w:pPr>
        <w:widowControl/>
        <w:adjustRightInd w:val="0"/>
        <w:snapToGrid w:val="0"/>
        <w:spacing w:line="360" w:lineRule="auto"/>
        <w:rPr>
          <w:rFonts w:ascii="Times New Roman" w:hAnsi="Times New Roman" w:cs="Times New Roman"/>
        </w:rPr>
      </w:pPr>
      <w:r>
        <w:rPr>
          <w:rFonts w:ascii="Times New Roman" w:hAnsi="Times New Roman" w:cs="Times New Roman"/>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86E"/>
    <w:rsid w:val="00002DCB"/>
    <w:rsid w:val="00017516"/>
    <w:rsid w:val="00023B74"/>
    <w:rsid w:val="00025FAD"/>
    <w:rsid w:val="00056DDE"/>
    <w:rsid w:val="00057962"/>
    <w:rsid w:val="00062462"/>
    <w:rsid w:val="00074067"/>
    <w:rsid w:val="000A7FCA"/>
    <w:rsid w:val="000D1645"/>
    <w:rsid w:val="000F6217"/>
    <w:rsid w:val="00106C05"/>
    <w:rsid w:val="00127DCE"/>
    <w:rsid w:val="001517FA"/>
    <w:rsid w:val="0018043C"/>
    <w:rsid w:val="001B5BE7"/>
    <w:rsid w:val="001B666E"/>
    <w:rsid w:val="001C04FD"/>
    <w:rsid w:val="001C2289"/>
    <w:rsid w:val="001C5624"/>
    <w:rsid w:val="001E226A"/>
    <w:rsid w:val="001E22BB"/>
    <w:rsid w:val="001F5168"/>
    <w:rsid w:val="001F7C70"/>
    <w:rsid w:val="00206BCD"/>
    <w:rsid w:val="002629C7"/>
    <w:rsid w:val="00266766"/>
    <w:rsid w:val="002723A3"/>
    <w:rsid w:val="00282405"/>
    <w:rsid w:val="00285C28"/>
    <w:rsid w:val="002B2901"/>
    <w:rsid w:val="002B3BF5"/>
    <w:rsid w:val="002D678E"/>
    <w:rsid w:val="002E5812"/>
    <w:rsid w:val="002E6CC7"/>
    <w:rsid w:val="00304A44"/>
    <w:rsid w:val="0031159E"/>
    <w:rsid w:val="00312C9E"/>
    <w:rsid w:val="00314BAF"/>
    <w:rsid w:val="003246AE"/>
    <w:rsid w:val="00324CE8"/>
    <w:rsid w:val="00354DA0"/>
    <w:rsid w:val="00356E1D"/>
    <w:rsid w:val="003607DF"/>
    <w:rsid w:val="003734FB"/>
    <w:rsid w:val="00394FF7"/>
    <w:rsid w:val="003A1845"/>
    <w:rsid w:val="003A7709"/>
    <w:rsid w:val="003C16DD"/>
    <w:rsid w:val="003C3DE4"/>
    <w:rsid w:val="003C5A6C"/>
    <w:rsid w:val="003D49F7"/>
    <w:rsid w:val="003F459A"/>
    <w:rsid w:val="00401D85"/>
    <w:rsid w:val="00404798"/>
    <w:rsid w:val="0040586E"/>
    <w:rsid w:val="004101A2"/>
    <w:rsid w:val="00414A8E"/>
    <w:rsid w:val="00417E77"/>
    <w:rsid w:val="00432E1F"/>
    <w:rsid w:val="004407AA"/>
    <w:rsid w:val="00442F92"/>
    <w:rsid w:val="00444D64"/>
    <w:rsid w:val="00450F35"/>
    <w:rsid w:val="00463398"/>
    <w:rsid w:val="004704A7"/>
    <w:rsid w:val="00480EA5"/>
    <w:rsid w:val="004815EB"/>
    <w:rsid w:val="00492DD0"/>
    <w:rsid w:val="004941DD"/>
    <w:rsid w:val="004A4EE9"/>
    <w:rsid w:val="004A5F25"/>
    <w:rsid w:val="004B48EA"/>
    <w:rsid w:val="004B5DA4"/>
    <w:rsid w:val="004C7BF5"/>
    <w:rsid w:val="004D4279"/>
    <w:rsid w:val="004F0796"/>
    <w:rsid w:val="004F598B"/>
    <w:rsid w:val="00503E4C"/>
    <w:rsid w:val="005073F4"/>
    <w:rsid w:val="00513BB5"/>
    <w:rsid w:val="0052397C"/>
    <w:rsid w:val="00527E80"/>
    <w:rsid w:val="0054155E"/>
    <w:rsid w:val="00544E1B"/>
    <w:rsid w:val="0055383A"/>
    <w:rsid w:val="00560D22"/>
    <w:rsid w:val="00565AC6"/>
    <w:rsid w:val="00570A1A"/>
    <w:rsid w:val="0058372E"/>
    <w:rsid w:val="005936E2"/>
    <w:rsid w:val="0059492A"/>
    <w:rsid w:val="005A3101"/>
    <w:rsid w:val="005A4FC8"/>
    <w:rsid w:val="005D4BE0"/>
    <w:rsid w:val="005D600E"/>
    <w:rsid w:val="005E020A"/>
    <w:rsid w:val="005E4467"/>
    <w:rsid w:val="005E776E"/>
    <w:rsid w:val="006009AB"/>
    <w:rsid w:val="00615252"/>
    <w:rsid w:val="006222C4"/>
    <w:rsid w:val="00624A60"/>
    <w:rsid w:val="006276ED"/>
    <w:rsid w:val="006307DB"/>
    <w:rsid w:val="00636297"/>
    <w:rsid w:val="00650312"/>
    <w:rsid w:val="00653BC9"/>
    <w:rsid w:val="00656CEA"/>
    <w:rsid w:val="0065753F"/>
    <w:rsid w:val="00657B74"/>
    <w:rsid w:val="006724DF"/>
    <w:rsid w:val="006A11C2"/>
    <w:rsid w:val="006D12CA"/>
    <w:rsid w:val="006E455C"/>
    <w:rsid w:val="006F1ECE"/>
    <w:rsid w:val="007065D9"/>
    <w:rsid w:val="00721DAF"/>
    <w:rsid w:val="00724D58"/>
    <w:rsid w:val="007457D9"/>
    <w:rsid w:val="00761B62"/>
    <w:rsid w:val="00766592"/>
    <w:rsid w:val="00772574"/>
    <w:rsid w:val="007A16B5"/>
    <w:rsid w:val="007C4780"/>
    <w:rsid w:val="007E0A6C"/>
    <w:rsid w:val="007F2CF6"/>
    <w:rsid w:val="00812819"/>
    <w:rsid w:val="00813FB9"/>
    <w:rsid w:val="00824331"/>
    <w:rsid w:val="008259AA"/>
    <w:rsid w:val="00850C4C"/>
    <w:rsid w:val="00857554"/>
    <w:rsid w:val="00861CF9"/>
    <w:rsid w:val="00865545"/>
    <w:rsid w:val="00872ADE"/>
    <w:rsid w:val="00880576"/>
    <w:rsid w:val="00897401"/>
    <w:rsid w:val="008A3EB2"/>
    <w:rsid w:val="008C0036"/>
    <w:rsid w:val="008C2FC9"/>
    <w:rsid w:val="009106FE"/>
    <w:rsid w:val="00933A96"/>
    <w:rsid w:val="00951FE5"/>
    <w:rsid w:val="009623E3"/>
    <w:rsid w:val="00964934"/>
    <w:rsid w:val="00964AC1"/>
    <w:rsid w:val="00966AA1"/>
    <w:rsid w:val="009739ED"/>
    <w:rsid w:val="00977772"/>
    <w:rsid w:val="00983EC5"/>
    <w:rsid w:val="00986A08"/>
    <w:rsid w:val="009A795B"/>
    <w:rsid w:val="009B001B"/>
    <w:rsid w:val="009B0086"/>
    <w:rsid w:val="009D2B93"/>
    <w:rsid w:val="009D2C69"/>
    <w:rsid w:val="009E0468"/>
    <w:rsid w:val="009E393D"/>
    <w:rsid w:val="009E6C02"/>
    <w:rsid w:val="009E7B27"/>
    <w:rsid w:val="009F1870"/>
    <w:rsid w:val="00A043E4"/>
    <w:rsid w:val="00A05B1A"/>
    <w:rsid w:val="00A178DC"/>
    <w:rsid w:val="00A2414B"/>
    <w:rsid w:val="00A31A8C"/>
    <w:rsid w:val="00A36398"/>
    <w:rsid w:val="00A717F4"/>
    <w:rsid w:val="00A74547"/>
    <w:rsid w:val="00A76934"/>
    <w:rsid w:val="00A92FC4"/>
    <w:rsid w:val="00AA44DF"/>
    <w:rsid w:val="00AA7214"/>
    <w:rsid w:val="00AB74CC"/>
    <w:rsid w:val="00AD167B"/>
    <w:rsid w:val="00AF7D7E"/>
    <w:rsid w:val="00B1593F"/>
    <w:rsid w:val="00B2103E"/>
    <w:rsid w:val="00B361C4"/>
    <w:rsid w:val="00B54AF5"/>
    <w:rsid w:val="00B62E84"/>
    <w:rsid w:val="00B7241E"/>
    <w:rsid w:val="00B832FF"/>
    <w:rsid w:val="00B9444E"/>
    <w:rsid w:val="00B96400"/>
    <w:rsid w:val="00B96DCB"/>
    <w:rsid w:val="00BC6F6B"/>
    <w:rsid w:val="00BE5464"/>
    <w:rsid w:val="00BE73E6"/>
    <w:rsid w:val="00C363FD"/>
    <w:rsid w:val="00C41718"/>
    <w:rsid w:val="00C458B3"/>
    <w:rsid w:val="00C50A75"/>
    <w:rsid w:val="00C5245D"/>
    <w:rsid w:val="00C64B42"/>
    <w:rsid w:val="00C70F02"/>
    <w:rsid w:val="00C723AE"/>
    <w:rsid w:val="00C94E74"/>
    <w:rsid w:val="00CA16E3"/>
    <w:rsid w:val="00CA2A7A"/>
    <w:rsid w:val="00CB6A2B"/>
    <w:rsid w:val="00CB7C4F"/>
    <w:rsid w:val="00CC45B4"/>
    <w:rsid w:val="00CF1639"/>
    <w:rsid w:val="00CF307F"/>
    <w:rsid w:val="00CF3306"/>
    <w:rsid w:val="00D17365"/>
    <w:rsid w:val="00D254EE"/>
    <w:rsid w:val="00D262B4"/>
    <w:rsid w:val="00D50613"/>
    <w:rsid w:val="00D50D90"/>
    <w:rsid w:val="00D66B3F"/>
    <w:rsid w:val="00D755BC"/>
    <w:rsid w:val="00D77389"/>
    <w:rsid w:val="00D876C2"/>
    <w:rsid w:val="00D96FBA"/>
    <w:rsid w:val="00DA17C3"/>
    <w:rsid w:val="00DA3FD2"/>
    <w:rsid w:val="00DA7C68"/>
    <w:rsid w:val="00DC1350"/>
    <w:rsid w:val="00DD16D8"/>
    <w:rsid w:val="00DD3D75"/>
    <w:rsid w:val="00DF5585"/>
    <w:rsid w:val="00E02A8D"/>
    <w:rsid w:val="00E12144"/>
    <w:rsid w:val="00E1255F"/>
    <w:rsid w:val="00E23F80"/>
    <w:rsid w:val="00E25D87"/>
    <w:rsid w:val="00E3101E"/>
    <w:rsid w:val="00E35FA8"/>
    <w:rsid w:val="00E45FFF"/>
    <w:rsid w:val="00E57749"/>
    <w:rsid w:val="00E616D4"/>
    <w:rsid w:val="00E650EA"/>
    <w:rsid w:val="00E73FDF"/>
    <w:rsid w:val="00E91683"/>
    <w:rsid w:val="00E91FEE"/>
    <w:rsid w:val="00E96878"/>
    <w:rsid w:val="00EA367B"/>
    <w:rsid w:val="00EA6F77"/>
    <w:rsid w:val="00EB474E"/>
    <w:rsid w:val="00EC4EBF"/>
    <w:rsid w:val="00ED5B4C"/>
    <w:rsid w:val="00ED7245"/>
    <w:rsid w:val="00EE5E13"/>
    <w:rsid w:val="00EF38DC"/>
    <w:rsid w:val="00F11534"/>
    <w:rsid w:val="00F14AAE"/>
    <w:rsid w:val="00F156BB"/>
    <w:rsid w:val="00F25C96"/>
    <w:rsid w:val="00F34F8C"/>
    <w:rsid w:val="00F537EB"/>
    <w:rsid w:val="00F5727A"/>
    <w:rsid w:val="00F87597"/>
    <w:rsid w:val="00F93312"/>
    <w:rsid w:val="00FA7DA8"/>
    <w:rsid w:val="00FB2AC7"/>
    <w:rsid w:val="00FB2DB1"/>
    <w:rsid w:val="00FB7716"/>
    <w:rsid w:val="00FC2381"/>
    <w:rsid w:val="00FD3144"/>
    <w:rsid w:val="00FE2D7A"/>
    <w:rsid w:val="034F71F9"/>
    <w:rsid w:val="268841FC"/>
    <w:rsid w:val="7AA30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link w:val="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 w:type="character" w:customStyle="1" w:styleId="8">
    <w:name w:val="标题 3 字符"/>
    <w:basedOn w:val="6"/>
    <w:link w:val="2"/>
    <w:qFormat/>
    <w:uiPriority w:val="9"/>
    <w:rPr>
      <w:rFonts w:ascii="宋体" w:hAnsi="宋体" w:eastAsia="宋体" w:cs="宋体"/>
      <w:b/>
      <w:bCs/>
      <w:kern w:val="0"/>
      <w:sz w:val="27"/>
      <w:szCs w:val="27"/>
    </w:rPr>
  </w:style>
  <w:style w:type="paragraph" w:styleId="9">
    <w:name w:val="List Paragraph"/>
    <w:basedOn w:val="1"/>
    <w:qFormat/>
    <w:uiPriority w:val="34"/>
    <w:pPr>
      <w:ind w:firstLine="420" w:firstLineChars="200"/>
    </w:pPr>
  </w:style>
  <w:style w:type="paragraph" w:customStyle="1" w:styleId="10">
    <w:name w:val="书目1"/>
    <w:basedOn w:val="1"/>
    <w:next w:val="1"/>
    <w:unhideWhenUsed/>
    <w:qFormat/>
    <w:uiPriority w:val="37"/>
    <w:pPr>
      <w:tabs>
        <w:tab w:val="left" w:pos="144"/>
      </w:tabs>
      <w:ind w:left="144" w:hanging="144"/>
    </w:pPr>
  </w:style>
  <w:style w:type="character" w:customStyle="1" w:styleId="11">
    <w:name w:val="批注框文本 字符"/>
    <w:basedOn w:val="6"/>
    <w:link w:val="3"/>
    <w:semiHidden/>
    <w:qFormat/>
    <w:uiPriority w:val="99"/>
    <w:rPr>
      <w:kern w:val="2"/>
      <w:sz w:val="18"/>
      <w:szCs w:val="18"/>
    </w:rPr>
  </w:style>
  <w:style w:type="paragraph" w:customStyle="1" w:styleId="12">
    <w:name w:val="Bibliography"/>
    <w:basedOn w:val="1"/>
    <w:next w:val="1"/>
    <w:unhideWhenUsed/>
    <w:qFormat/>
    <w:uiPriority w:val="37"/>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890</Words>
  <Characters>4820</Characters>
  <Lines>246</Lines>
  <Paragraphs>129</Paragraphs>
  <TotalTime>1</TotalTime>
  <ScaleCrop>false</ScaleCrop>
  <LinksUpToDate>false</LinksUpToDate>
  <CharactersWithSpaces>5660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2026-02-09T10:42:00Z</dcterms:created>
  <dc:creator>陈玲</dc:creator>
  <cp:lastModifiedBy>刘华林</cp:lastModifiedBy>
  <dcterms:modified xsi:type="dcterms:W3CDTF">2026-03-19T01:51:52Z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id="129mFgko"/&gt;&lt;style id="http://www.zotero.org/styles/royal-society-of-chemistry-with-titles" hasBibliography="1" bibliographyStyleHasBeenSet="1"/&gt;&lt;prefs&gt;&lt;pref name="fieldType" value="Field"/&gt;&lt;pref </vt:lpwstr>
  </property>
  <property fmtid="{D5CDD505-2E9C-101B-9397-08002B2CF9AE}" pid="3" name="ZOTERO_PREF_2">
    <vt:lpwstr>name="automaticJournalAbbreviations" value="true"/&gt;&lt;/prefs&gt;&lt;/data&gt;</vt:lpwstr>
  </property>
  <property fmtid="{D5CDD505-2E9C-101B-9397-08002B2CF9AE}" pid="4" name="KSOTemplateDocerSaveRecord">
    <vt:lpwstr>eyJoZGlkIjoiOTViNmYwNWEyNDc5YjRmNTkwODhhYTExMTQ4N2Y2MTAiLCJ1c2VySWQiOiIxNDc0OTE4Nzg1In0=</vt:lpwstr>
  </property>
  <property fmtid="{D5CDD505-2E9C-101B-9397-08002B2CF9AE}" pid="5" name="KSOProductBuildVer">
    <vt:lpwstr>2052-12.1.0.23125</vt:lpwstr>
  </property>
  <property fmtid="{D5CDD505-2E9C-101B-9397-08002B2CF9AE}" pid="6" name="ICV">
    <vt:lpwstr>FC6EC4346F8D49F48EBDEFE1CF111D2E_12</vt:lpwstr>
  </property>
</Properties>
</file>